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8FE38" w14:textId="65ABB315" w:rsidR="00C57D38" w:rsidRPr="002E4454" w:rsidRDefault="001E44CC" w:rsidP="00934A35">
      <w:pPr>
        <w:jc w:val="center"/>
        <w:rPr>
          <w:b/>
          <w:sz w:val="28"/>
          <w:szCs w:val="28"/>
          <w:lang w:val="uk-UA"/>
        </w:rPr>
      </w:pPr>
      <w:r w:rsidRPr="002E4454">
        <w:rPr>
          <w:b/>
          <w:sz w:val="28"/>
          <w:szCs w:val="28"/>
          <w:lang w:val="uk-UA"/>
        </w:rPr>
        <w:t>Становище ЛГБТ в Україні у</w:t>
      </w:r>
      <w:r w:rsidR="00C57D38" w:rsidRPr="002E4454">
        <w:rPr>
          <w:b/>
          <w:sz w:val="28"/>
          <w:szCs w:val="28"/>
        </w:rPr>
        <w:t xml:space="preserve"> </w:t>
      </w:r>
      <w:r w:rsidR="00EF1036" w:rsidRPr="002E4454">
        <w:rPr>
          <w:b/>
          <w:sz w:val="28"/>
          <w:szCs w:val="28"/>
          <w:lang w:val="uk-UA"/>
        </w:rPr>
        <w:t xml:space="preserve">січні – липні </w:t>
      </w:r>
      <w:r w:rsidR="00C57D38" w:rsidRPr="002E4454">
        <w:rPr>
          <w:b/>
          <w:sz w:val="28"/>
          <w:szCs w:val="28"/>
        </w:rPr>
        <w:t>201</w:t>
      </w:r>
      <w:r w:rsidR="00CC495C" w:rsidRPr="002E4454">
        <w:rPr>
          <w:b/>
          <w:sz w:val="28"/>
          <w:szCs w:val="28"/>
          <w:lang w:val="en-US"/>
        </w:rPr>
        <w:t>7</w:t>
      </w:r>
      <w:r w:rsidR="00EF1036" w:rsidRPr="002E4454">
        <w:rPr>
          <w:b/>
          <w:sz w:val="28"/>
          <w:szCs w:val="28"/>
          <w:lang w:val="uk-UA"/>
        </w:rPr>
        <w:t xml:space="preserve"> р.</w:t>
      </w:r>
    </w:p>
    <w:p w14:paraId="190D915F" w14:textId="77777777" w:rsidR="00C57D38" w:rsidRDefault="00C57D38" w:rsidP="00C57D38">
      <w:pPr>
        <w:rPr>
          <w:lang w:val="uk-UA"/>
        </w:rPr>
      </w:pPr>
    </w:p>
    <w:p w14:paraId="233C0AC4" w14:textId="77777777" w:rsidR="002E4454" w:rsidRPr="002E4454" w:rsidRDefault="002E4454" w:rsidP="00C57D38">
      <w:pPr>
        <w:rPr>
          <w:lang w:val="uk-UA"/>
        </w:rPr>
      </w:pPr>
    </w:p>
    <w:p w14:paraId="388EB9FC" w14:textId="7F675CC5" w:rsidR="00C57D38" w:rsidRPr="00934A35" w:rsidRDefault="001E44CC" w:rsidP="00C57D38">
      <w:pPr>
        <w:rPr>
          <w:lang w:val="uk-UA"/>
        </w:rPr>
      </w:pPr>
      <w:r w:rsidRPr="00934A35">
        <w:rPr>
          <w:lang w:val="uk-UA"/>
        </w:rPr>
        <w:t>Правозахисни</w:t>
      </w:r>
      <w:r w:rsidR="004A38B8" w:rsidRPr="00934A35">
        <w:rPr>
          <w:lang w:val="uk-UA"/>
        </w:rPr>
        <w:t>й</w:t>
      </w:r>
      <w:r w:rsidRPr="00934A35">
        <w:rPr>
          <w:lang w:val="uk-UA"/>
        </w:rPr>
        <w:t xml:space="preserve"> ЛГБТ Центр "Наш світ"</w:t>
      </w:r>
    </w:p>
    <w:p w14:paraId="5681D588" w14:textId="26B836F5" w:rsidR="00C57D38" w:rsidRPr="00934A35" w:rsidRDefault="001E44CC" w:rsidP="002E4454">
      <w:pPr>
        <w:ind w:firstLine="284"/>
      </w:pPr>
      <w:r w:rsidRPr="00934A35">
        <w:rPr>
          <w:lang w:val="uk-UA"/>
        </w:rPr>
        <w:t>Веб-сайт</w:t>
      </w:r>
      <w:r w:rsidR="00C57D38" w:rsidRPr="00934A35">
        <w:t xml:space="preserve">: </w:t>
      </w:r>
      <w:hyperlink r:id="rId9" w:history="1">
        <w:r w:rsidR="00C57D38" w:rsidRPr="002E4454">
          <w:rPr>
            <w:rStyle w:val="a4"/>
            <w:lang w:val="en-US"/>
          </w:rPr>
          <w:t>www</w:t>
        </w:r>
        <w:r w:rsidR="00C57D38" w:rsidRPr="002E4454">
          <w:rPr>
            <w:rStyle w:val="a4"/>
          </w:rPr>
          <w:t>.</w:t>
        </w:r>
        <w:r w:rsidR="00C57D38" w:rsidRPr="002E4454">
          <w:rPr>
            <w:rStyle w:val="a4"/>
            <w:lang w:val="en-US"/>
          </w:rPr>
          <w:t>gay</w:t>
        </w:r>
        <w:r w:rsidR="00C57D38" w:rsidRPr="002E4454">
          <w:rPr>
            <w:rStyle w:val="a4"/>
          </w:rPr>
          <w:t>.</w:t>
        </w:r>
        <w:r w:rsidR="00C57D38" w:rsidRPr="002E4454">
          <w:rPr>
            <w:rStyle w:val="a4"/>
            <w:lang w:val="en-US"/>
          </w:rPr>
          <w:t>org</w:t>
        </w:r>
        <w:r w:rsidR="00C57D38" w:rsidRPr="002E4454">
          <w:rPr>
            <w:rStyle w:val="a4"/>
          </w:rPr>
          <w:t>.</w:t>
        </w:r>
        <w:proofErr w:type="spellStart"/>
        <w:r w:rsidR="00C57D38" w:rsidRPr="002E4454">
          <w:rPr>
            <w:rStyle w:val="a4"/>
            <w:lang w:val="en-US"/>
          </w:rPr>
          <w:t>ua</w:t>
        </w:r>
        <w:proofErr w:type="spellEnd"/>
      </w:hyperlink>
    </w:p>
    <w:p w14:paraId="302A43A6" w14:textId="21AB47EE" w:rsidR="002E4454" w:rsidRDefault="002E4454" w:rsidP="002E4454">
      <w:pPr>
        <w:ind w:firstLine="284"/>
        <w:rPr>
          <w:lang w:val="uk-UA"/>
        </w:rPr>
      </w:pPr>
      <w:proofErr w:type="spellStart"/>
      <w:r w:rsidRPr="002E4454">
        <w:rPr>
          <w:lang w:val="uk-UA"/>
        </w:rPr>
        <w:t>Facebook</w:t>
      </w:r>
      <w:proofErr w:type="spellEnd"/>
      <w:r w:rsidRPr="002E4454">
        <w:rPr>
          <w:lang w:val="uk-UA"/>
        </w:rPr>
        <w:t xml:space="preserve">: </w:t>
      </w:r>
      <w:hyperlink r:id="rId10" w:history="1">
        <w:r w:rsidRPr="002E4454">
          <w:rPr>
            <w:rStyle w:val="a4"/>
            <w:lang w:val="uk-UA"/>
          </w:rPr>
          <w:t>https://www.facebook.com/nashmircenter</w:t>
        </w:r>
      </w:hyperlink>
    </w:p>
    <w:p w14:paraId="4DE9AC34" w14:textId="4A67C9C0" w:rsidR="00C57D38" w:rsidRPr="002E4454" w:rsidRDefault="001E44CC" w:rsidP="002E4454">
      <w:pPr>
        <w:ind w:firstLine="284"/>
        <w:rPr>
          <w:lang w:val="uk-UA"/>
        </w:rPr>
      </w:pPr>
      <w:r w:rsidRPr="002E4454">
        <w:rPr>
          <w:lang w:val="uk-UA"/>
        </w:rPr>
        <w:t>Поштова адреса</w:t>
      </w:r>
      <w:r w:rsidR="00C57D38" w:rsidRPr="002E4454">
        <w:rPr>
          <w:lang w:val="uk-UA"/>
        </w:rPr>
        <w:t xml:space="preserve">: </w:t>
      </w:r>
      <w:r w:rsidR="002E4454" w:rsidRPr="002E4454">
        <w:rPr>
          <w:lang w:val="uk-UA"/>
        </w:rPr>
        <w:t>а/с 173, м. Киї</w:t>
      </w:r>
      <w:r w:rsidR="00773A12" w:rsidRPr="002E4454">
        <w:rPr>
          <w:lang w:val="uk-UA"/>
        </w:rPr>
        <w:t>в, 02100</w:t>
      </w:r>
    </w:p>
    <w:p w14:paraId="0931D80E" w14:textId="3008D929" w:rsidR="00C57D38" w:rsidRPr="00934A35" w:rsidRDefault="00C57D38" w:rsidP="002E4454">
      <w:pPr>
        <w:ind w:firstLine="284"/>
      </w:pPr>
      <w:r w:rsidRPr="00934A35">
        <w:rPr>
          <w:lang w:val="en-US"/>
        </w:rPr>
        <w:t>E</w:t>
      </w:r>
      <w:r w:rsidRPr="00934A35">
        <w:t>-</w:t>
      </w:r>
      <w:r w:rsidRPr="00934A35">
        <w:rPr>
          <w:lang w:val="en-US"/>
        </w:rPr>
        <w:t>mail</w:t>
      </w:r>
      <w:r w:rsidRPr="00934A35">
        <w:t xml:space="preserve">: </w:t>
      </w:r>
      <w:hyperlink r:id="rId11" w:history="1">
        <w:r w:rsidRPr="002E4454">
          <w:rPr>
            <w:rStyle w:val="a4"/>
            <w:lang w:val="en-US"/>
          </w:rPr>
          <w:t>coordinator</w:t>
        </w:r>
        <w:r w:rsidRPr="002E4454">
          <w:rPr>
            <w:rStyle w:val="a4"/>
          </w:rPr>
          <w:t>@</w:t>
        </w:r>
        <w:r w:rsidRPr="002E4454">
          <w:rPr>
            <w:rStyle w:val="a4"/>
            <w:lang w:val="en-US"/>
          </w:rPr>
          <w:t>gay</w:t>
        </w:r>
        <w:r w:rsidRPr="002E4454">
          <w:rPr>
            <w:rStyle w:val="a4"/>
          </w:rPr>
          <w:t>.</w:t>
        </w:r>
        <w:r w:rsidRPr="002E4454">
          <w:rPr>
            <w:rStyle w:val="a4"/>
            <w:lang w:val="en-US"/>
          </w:rPr>
          <w:t>org</w:t>
        </w:r>
        <w:r w:rsidRPr="002E4454">
          <w:rPr>
            <w:rStyle w:val="a4"/>
          </w:rPr>
          <w:t>.</w:t>
        </w:r>
        <w:proofErr w:type="spellStart"/>
        <w:r w:rsidRPr="002E4454">
          <w:rPr>
            <w:rStyle w:val="a4"/>
            <w:lang w:val="en-US"/>
          </w:rPr>
          <w:t>ua</w:t>
        </w:r>
        <w:proofErr w:type="spellEnd"/>
      </w:hyperlink>
    </w:p>
    <w:p w14:paraId="583A3C05" w14:textId="4110FB10" w:rsidR="008F0AD7" w:rsidRPr="00934A35" w:rsidRDefault="001E44CC" w:rsidP="002E4454">
      <w:pPr>
        <w:ind w:firstLine="284"/>
        <w:rPr>
          <w:lang w:val="en-US"/>
        </w:rPr>
      </w:pPr>
      <w:r w:rsidRPr="00934A35">
        <w:rPr>
          <w:lang w:val="uk-UA"/>
        </w:rPr>
        <w:t>Тел</w:t>
      </w:r>
      <w:r w:rsidR="002E4454">
        <w:rPr>
          <w:lang w:val="uk-UA"/>
        </w:rPr>
        <w:t>ефон</w:t>
      </w:r>
      <w:r w:rsidR="00C57D38" w:rsidRPr="00934A35">
        <w:t>/</w:t>
      </w:r>
      <w:r w:rsidRPr="00934A35">
        <w:rPr>
          <w:lang w:val="uk-UA"/>
        </w:rPr>
        <w:t>факс</w:t>
      </w:r>
      <w:r w:rsidR="00934A35" w:rsidRPr="00934A35">
        <w:t>: +380 44 2963424</w:t>
      </w:r>
    </w:p>
    <w:p w14:paraId="5175D951" w14:textId="77777777" w:rsidR="002E4454" w:rsidRDefault="002E4454" w:rsidP="00C57D38">
      <w:pPr>
        <w:rPr>
          <w:lang w:val="uk-UA"/>
        </w:rPr>
      </w:pPr>
    </w:p>
    <w:p w14:paraId="189ADDAB" w14:textId="77777777" w:rsidR="002E4454" w:rsidRPr="002E4454" w:rsidRDefault="002E4454" w:rsidP="00C57D38">
      <w:pPr>
        <w:rPr>
          <w:lang w:val="uk-UA"/>
        </w:rPr>
      </w:pPr>
    </w:p>
    <w:p w14:paraId="1F6134B4" w14:textId="43C80BDB" w:rsidR="00F33E34" w:rsidRPr="00934A35" w:rsidRDefault="00F33E34" w:rsidP="00C57D38">
      <w:pPr>
        <w:rPr>
          <w:b/>
          <w:i/>
          <w:lang w:val="uk-UA"/>
        </w:rPr>
      </w:pPr>
      <w:r w:rsidRPr="00934A35">
        <w:rPr>
          <w:b/>
          <w:i/>
          <w:lang w:val="uk-UA"/>
        </w:rPr>
        <w:t>У 2017 році становище української ЛГБТ спільноти та ставлення українського суспільства і держави до ЛГБТ питань не продемонстрували принципових змін порівняно з ситуацією у попередньому році. Центральна влада так само, підтримуючи рівність прав для ЛГБТ на словах, не квапиться перейти до виконання власних зобов’язань за Планом дій у сфері прав людини; поліція</w:t>
      </w:r>
      <w:r w:rsidR="0094630F" w:rsidRPr="00934A35">
        <w:rPr>
          <w:b/>
          <w:i/>
          <w:lang w:val="uk-UA"/>
        </w:rPr>
        <w:t>, в цілому,</w:t>
      </w:r>
      <w:r w:rsidRPr="00934A35">
        <w:rPr>
          <w:b/>
          <w:i/>
          <w:lang w:val="uk-UA"/>
        </w:rPr>
        <w:t xml:space="preserve"> забезпечує досить надійну охорону ЛГБТ заходів від </w:t>
      </w:r>
      <w:proofErr w:type="spellStart"/>
      <w:r w:rsidRPr="00934A35">
        <w:rPr>
          <w:b/>
          <w:i/>
          <w:lang w:val="uk-UA"/>
        </w:rPr>
        <w:t>гомофобної</w:t>
      </w:r>
      <w:proofErr w:type="spellEnd"/>
      <w:r w:rsidRPr="00934A35">
        <w:rPr>
          <w:b/>
          <w:i/>
          <w:lang w:val="uk-UA"/>
        </w:rPr>
        <w:t xml:space="preserve"> агресії</w:t>
      </w:r>
      <w:r w:rsidR="0094630F" w:rsidRPr="00934A35">
        <w:rPr>
          <w:b/>
          <w:i/>
          <w:lang w:val="uk-UA"/>
        </w:rPr>
        <w:t xml:space="preserve"> у випадку попереднього узгодження</w:t>
      </w:r>
      <w:r w:rsidRPr="00934A35">
        <w:rPr>
          <w:b/>
          <w:i/>
          <w:lang w:val="uk-UA"/>
        </w:rPr>
        <w:t xml:space="preserve">, але </w:t>
      </w:r>
      <w:r w:rsidR="0094630F" w:rsidRPr="00934A35">
        <w:rPr>
          <w:b/>
          <w:i/>
          <w:lang w:val="uk-UA"/>
        </w:rPr>
        <w:t xml:space="preserve">неохоче та неефективно розслідує «злочини ненависті» проти ЛГБТ. Українське суспільство поступово стає більш обізнаним щодо реальних проблем та вимог своїх ЛГБТ співвітчизників, </w:t>
      </w:r>
      <w:proofErr w:type="spellStart"/>
      <w:r w:rsidR="0094630F" w:rsidRPr="00934A35">
        <w:rPr>
          <w:b/>
          <w:i/>
          <w:lang w:val="uk-UA"/>
        </w:rPr>
        <w:t>терпимішим</w:t>
      </w:r>
      <w:proofErr w:type="spellEnd"/>
      <w:r w:rsidR="0094630F" w:rsidRPr="00934A35">
        <w:rPr>
          <w:b/>
          <w:i/>
          <w:lang w:val="uk-UA"/>
        </w:rPr>
        <w:t xml:space="preserve"> до проявів </w:t>
      </w:r>
      <w:proofErr w:type="spellStart"/>
      <w:r w:rsidR="0094630F" w:rsidRPr="00934A35">
        <w:rPr>
          <w:b/>
          <w:i/>
          <w:lang w:val="uk-UA"/>
        </w:rPr>
        <w:t>гомосексуальності</w:t>
      </w:r>
      <w:proofErr w:type="spellEnd"/>
      <w:r w:rsidR="0094630F" w:rsidRPr="00934A35">
        <w:rPr>
          <w:b/>
          <w:i/>
          <w:lang w:val="uk-UA"/>
        </w:rPr>
        <w:t xml:space="preserve"> та </w:t>
      </w:r>
      <w:proofErr w:type="spellStart"/>
      <w:r w:rsidR="0094630F" w:rsidRPr="00934A35">
        <w:rPr>
          <w:b/>
          <w:i/>
          <w:lang w:val="uk-UA"/>
        </w:rPr>
        <w:t>трансґендерності</w:t>
      </w:r>
      <w:proofErr w:type="spellEnd"/>
      <w:r w:rsidR="0094630F" w:rsidRPr="00934A35">
        <w:rPr>
          <w:b/>
          <w:i/>
          <w:lang w:val="uk-UA"/>
        </w:rPr>
        <w:t xml:space="preserve">. Головними опонентами ЛГБТ в Україні лишаються </w:t>
      </w:r>
      <w:proofErr w:type="spellStart"/>
      <w:r w:rsidR="0094630F" w:rsidRPr="00934A35">
        <w:rPr>
          <w:b/>
          <w:i/>
          <w:lang w:val="uk-UA"/>
        </w:rPr>
        <w:t>праворадикальні</w:t>
      </w:r>
      <w:proofErr w:type="spellEnd"/>
      <w:r w:rsidR="0094630F" w:rsidRPr="00934A35">
        <w:rPr>
          <w:b/>
          <w:i/>
          <w:lang w:val="uk-UA"/>
        </w:rPr>
        <w:t xml:space="preserve"> націоналістичні сили та церкви, але якщо перші нітрохи не послаблюють, а скоріше, навпаки, </w:t>
      </w:r>
      <w:r w:rsidR="00D25D62" w:rsidRPr="00934A35">
        <w:rPr>
          <w:b/>
          <w:i/>
          <w:lang w:val="uk-UA"/>
        </w:rPr>
        <w:t>підсилюють</w:t>
      </w:r>
      <w:r w:rsidR="0094630F" w:rsidRPr="00934A35">
        <w:rPr>
          <w:b/>
          <w:i/>
          <w:lang w:val="uk-UA"/>
        </w:rPr>
        <w:t xml:space="preserve"> сво</w:t>
      </w:r>
      <w:r w:rsidR="00D25D62" w:rsidRPr="00934A35">
        <w:rPr>
          <w:b/>
          <w:i/>
          <w:lang w:val="uk-UA"/>
        </w:rPr>
        <w:t xml:space="preserve">ю </w:t>
      </w:r>
      <w:proofErr w:type="spellStart"/>
      <w:r w:rsidR="00D25D62" w:rsidRPr="00934A35">
        <w:rPr>
          <w:b/>
          <w:i/>
          <w:lang w:val="uk-UA"/>
        </w:rPr>
        <w:t>гомофобну</w:t>
      </w:r>
      <w:proofErr w:type="spellEnd"/>
      <w:r w:rsidR="00D25D62" w:rsidRPr="00934A35">
        <w:rPr>
          <w:b/>
          <w:i/>
          <w:lang w:val="uk-UA"/>
        </w:rPr>
        <w:t xml:space="preserve"> активність та риторику, то останні намагаються уникати відвертої «мови ворожнечі» та прямих закликів до дискримінації проти ЛГБТ.</w:t>
      </w:r>
    </w:p>
    <w:p w14:paraId="72B7CAD3" w14:textId="77777777" w:rsidR="0094630F" w:rsidRDefault="0094630F" w:rsidP="00C57D38">
      <w:pPr>
        <w:rPr>
          <w:lang w:val="uk-UA"/>
        </w:rPr>
      </w:pPr>
    </w:p>
    <w:p w14:paraId="07022AA9" w14:textId="77777777" w:rsidR="00EF1036" w:rsidRPr="00934A35" w:rsidRDefault="00EF1036" w:rsidP="00C57D38">
      <w:pPr>
        <w:rPr>
          <w:lang w:val="uk-UA"/>
        </w:rPr>
      </w:pPr>
    </w:p>
    <w:p w14:paraId="7FDC5057" w14:textId="77777777" w:rsidR="000E57D9" w:rsidRPr="00934A35" w:rsidRDefault="000E57D9" w:rsidP="000E57D9">
      <w:pPr>
        <w:contextualSpacing w:val="0"/>
        <w:rPr>
          <w:b/>
          <w:lang w:val="uk-UA"/>
        </w:rPr>
      </w:pPr>
      <w:r w:rsidRPr="00934A35">
        <w:rPr>
          <w:b/>
          <w:lang w:val="uk-UA"/>
        </w:rPr>
        <w:t xml:space="preserve">1. Узагальнена суспільно-політична ситуація </w:t>
      </w:r>
    </w:p>
    <w:p w14:paraId="420322B9" w14:textId="77777777" w:rsidR="00AF1F7A" w:rsidRPr="00934A35" w:rsidRDefault="00AF1F7A" w:rsidP="00AF1F7A">
      <w:pPr>
        <w:spacing w:before="240"/>
        <w:contextualSpacing w:val="0"/>
        <w:rPr>
          <w:b/>
          <w:lang w:val="uk-UA"/>
        </w:rPr>
      </w:pPr>
      <w:r w:rsidRPr="00934A35">
        <w:rPr>
          <w:b/>
          <w:lang w:val="uk-UA"/>
        </w:rPr>
        <w:t>Законодавство</w:t>
      </w:r>
    </w:p>
    <w:p w14:paraId="0B1238C3" w14:textId="77777777" w:rsidR="00BF6139" w:rsidRPr="00934A35" w:rsidRDefault="00BF6139" w:rsidP="0025514D">
      <w:pPr>
        <w:contextualSpacing w:val="0"/>
        <w:rPr>
          <w:lang w:val="uk-UA"/>
        </w:rPr>
      </w:pPr>
      <w:r w:rsidRPr="00934A35">
        <w:rPr>
          <w:lang w:val="uk-UA"/>
        </w:rPr>
        <w:t xml:space="preserve">З початку 2017 року в українському законодавстві, яке стосується інтересів і прав ЛГБТ, не відбулося жодних змін. Як і раніше, дискримінація за ознаками сексуальної орієнтації та гендерної ідентичності (СОҐІ) явним чином заборонена тільки у сфері трудових відносин, а у Сімейному кодексі та підзаконних актах зберігаються відверто дискримінаційні стосовно ЛГБТ положення. Мотиви </w:t>
      </w:r>
      <w:proofErr w:type="spellStart"/>
      <w:r w:rsidRPr="00934A35">
        <w:rPr>
          <w:lang w:val="uk-UA"/>
        </w:rPr>
        <w:t>гомофобії</w:t>
      </w:r>
      <w:proofErr w:type="spellEnd"/>
      <w:r w:rsidRPr="00934A35">
        <w:rPr>
          <w:lang w:val="uk-UA"/>
        </w:rPr>
        <w:t xml:space="preserve"> та </w:t>
      </w:r>
      <w:proofErr w:type="spellStart"/>
      <w:r w:rsidRPr="00934A35">
        <w:rPr>
          <w:lang w:val="uk-UA"/>
        </w:rPr>
        <w:t>трансфобії</w:t>
      </w:r>
      <w:proofErr w:type="spellEnd"/>
      <w:r w:rsidRPr="00934A35">
        <w:rPr>
          <w:lang w:val="uk-UA"/>
        </w:rPr>
        <w:t xml:space="preserve"> не вважаються обтяжливими обставинами при скоєнні злочинів. </w:t>
      </w:r>
    </w:p>
    <w:p w14:paraId="153D9D62" w14:textId="57F58159" w:rsidR="00BF6139" w:rsidRPr="00934A35" w:rsidRDefault="00BF6139" w:rsidP="0025514D">
      <w:pPr>
        <w:contextualSpacing w:val="0"/>
        <w:rPr>
          <w:lang w:val="uk-UA"/>
        </w:rPr>
      </w:pPr>
      <w:r w:rsidRPr="00934A35">
        <w:rPr>
          <w:lang w:val="uk-UA"/>
        </w:rPr>
        <w:t>З кінця 2016 року практично зупинилося виконання ЛГБТІ компонентів Плану дій з реалізації Національної стратегії у сфері прав людини на період до 2020 року. Залишаються досі невиконаними</w:t>
      </w:r>
      <w:r w:rsidR="00A22E58" w:rsidRPr="00934A35">
        <w:rPr>
          <w:lang w:val="uk-UA"/>
        </w:rPr>
        <w:t>, зокрема,</w:t>
      </w:r>
      <w:r w:rsidRPr="00934A35">
        <w:rPr>
          <w:lang w:val="uk-UA"/>
        </w:rPr>
        <w:t xml:space="preserve"> такі його пункти, термін реалізації яких вже сплив у 2016 – першому півріччі 2017:</w:t>
      </w:r>
    </w:p>
    <w:p w14:paraId="661E0426" w14:textId="628E123C" w:rsidR="00BF6139" w:rsidRPr="00934A35" w:rsidRDefault="00BF6139" w:rsidP="00A22E58">
      <w:pPr>
        <w:pStyle w:val="aa"/>
        <w:numPr>
          <w:ilvl w:val="0"/>
          <w:numId w:val="2"/>
        </w:numPr>
        <w:contextualSpacing w:val="0"/>
        <w:rPr>
          <w:lang w:val="uk-UA"/>
        </w:rPr>
      </w:pPr>
      <w:r w:rsidRPr="00934A35">
        <w:rPr>
          <w:lang w:val="uk-UA"/>
        </w:rPr>
        <w:t>п. 60 захід 8 та аналогічн</w:t>
      </w:r>
      <w:r w:rsidR="00A91EDD" w:rsidRPr="00934A35">
        <w:rPr>
          <w:lang w:val="uk-UA"/>
        </w:rPr>
        <w:t xml:space="preserve">ий п. 62 захід 1 </w:t>
      </w:r>
      <w:r w:rsidRPr="00934A35">
        <w:rPr>
          <w:lang w:val="uk-UA"/>
        </w:rPr>
        <w:t xml:space="preserve">(щодо </w:t>
      </w:r>
      <w:r w:rsidR="00A91EDD" w:rsidRPr="00934A35">
        <w:rPr>
          <w:lang w:val="uk-UA"/>
        </w:rPr>
        <w:t xml:space="preserve">напрацювання стандартів </w:t>
      </w:r>
      <w:r w:rsidRPr="00934A35">
        <w:rPr>
          <w:lang w:val="uk-UA"/>
        </w:rPr>
        <w:t>медичної допомоги інтерсекс особам);</w:t>
      </w:r>
    </w:p>
    <w:p w14:paraId="18D6DD62" w14:textId="445C47B5" w:rsidR="00BF6139" w:rsidRPr="00934A35" w:rsidRDefault="00A91EDD" w:rsidP="00A22E58">
      <w:pPr>
        <w:pStyle w:val="aa"/>
        <w:numPr>
          <w:ilvl w:val="0"/>
          <w:numId w:val="2"/>
        </w:numPr>
        <w:contextualSpacing w:val="0"/>
        <w:rPr>
          <w:lang w:val="uk-UA"/>
        </w:rPr>
      </w:pPr>
      <w:r w:rsidRPr="00934A35">
        <w:rPr>
          <w:lang w:val="uk-UA"/>
        </w:rPr>
        <w:t>п. 105 захід 1 (щодо внесення сексуальної орієнтації та ґендерної ідентичності (надалі скорочено «СОҐІ») як захищених ознак до Закону України “Про засади запобігання та протидії дискримінації в Україні”) – Міністерство юстиції прямо відмовляється робити це;</w:t>
      </w:r>
    </w:p>
    <w:p w14:paraId="77CB83AD" w14:textId="3B6EFC6C" w:rsidR="00BF6139" w:rsidRPr="00934A35" w:rsidRDefault="00A91EDD" w:rsidP="00A22E58">
      <w:pPr>
        <w:pStyle w:val="aa"/>
        <w:numPr>
          <w:ilvl w:val="0"/>
          <w:numId w:val="2"/>
        </w:numPr>
        <w:contextualSpacing w:val="0"/>
        <w:rPr>
          <w:lang w:val="uk-UA"/>
        </w:rPr>
      </w:pPr>
      <w:r w:rsidRPr="00934A35">
        <w:rPr>
          <w:lang w:val="uk-UA"/>
        </w:rPr>
        <w:t>п. 105 захід 3 (про внесення поправок до Кримінального кодексу щодо криміналізації злочинів з мотивів нетерпимості, зокрема, за ознаками СОҐІ, а також</w:t>
      </w:r>
      <w:r w:rsidRPr="00934A35">
        <w:t xml:space="preserve"> </w:t>
      </w:r>
      <w:r w:rsidRPr="00934A35">
        <w:rPr>
          <w:lang w:val="uk-UA"/>
        </w:rPr>
        <w:t>щодо декриміналізації зараження ВІЛ та іншими інфекційними хворобами ) – Міністерство внутрішніх справ не хоче виконувати цей пункт Плану дій у поточному вигляді та чекає на ухвалення змін до Плану дій, які би дозволили це не робити;</w:t>
      </w:r>
    </w:p>
    <w:p w14:paraId="7D583179" w14:textId="3524985A" w:rsidR="00A91EDD" w:rsidRPr="00934A35" w:rsidRDefault="00A91EDD" w:rsidP="00A22E58">
      <w:pPr>
        <w:pStyle w:val="aa"/>
        <w:numPr>
          <w:ilvl w:val="0"/>
          <w:numId w:val="2"/>
        </w:numPr>
        <w:contextualSpacing w:val="0"/>
        <w:rPr>
          <w:lang w:val="uk-UA"/>
        </w:rPr>
      </w:pPr>
      <w:r w:rsidRPr="00934A35">
        <w:rPr>
          <w:lang w:val="uk-UA"/>
        </w:rPr>
        <w:lastRenderedPageBreak/>
        <w:t>п. 105 захід 6 (розроблення та подання на розгляд Кабінету Міністрів України законопроекту про легалізацію в Україні зареєстрованого цивільного партнерства для різностатевих і одностатевих пар) – Міністерство юстиції та Міністерство соціальної політики перекладають обов’язок розроблення цього законопроекту одне на інше</w:t>
      </w:r>
      <w:r w:rsidR="00A22E58" w:rsidRPr="00934A35">
        <w:rPr>
          <w:lang w:val="uk-UA"/>
        </w:rPr>
        <w:t>;</w:t>
      </w:r>
    </w:p>
    <w:p w14:paraId="4C1D5D10" w14:textId="77777777" w:rsidR="00A22E58" w:rsidRPr="00934A35" w:rsidRDefault="00A22E58" w:rsidP="00A22E58">
      <w:pPr>
        <w:pStyle w:val="aa"/>
        <w:numPr>
          <w:ilvl w:val="0"/>
          <w:numId w:val="2"/>
        </w:numPr>
        <w:contextualSpacing w:val="0"/>
        <w:rPr>
          <w:lang w:val="uk-UA"/>
        </w:rPr>
      </w:pPr>
      <w:r w:rsidRPr="00934A35">
        <w:rPr>
          <w:lang w:val="uk-UA"/>
        </w:rPr>
        <w:t xml:space="preserve">п. 105 захід 7 (зняття заборони на всиновлення дітей, зокрема, </w:t>
      </w:r>
      <w:proofErr w:type="spellStart"/>
      <w:r w:rsidRPr="00934A35">
        <w:rPr>
          <w:lang w:val="uk-UA"/>
        </w:rPr>
        <w:t>трансґендерними</w:t>
      </w:r>
      <w:proofErr w:type="spellEnd"/>
      <w:r w:rsidRPr="00934A35">
        <w:rPr>
          <w:lang w:val="uk-UA"/>
        </w:rPr>
        <w:t xml:space="preserve"> та ВІЛ- позитивними людьми) – за нашими даними, Міністерство охорони здоров’я розробило відповідний проект наказу, але він отримав негативні оцінку на громадському обговоренні від </w:t>
      </w:r>
      <w:proofErr w:type="spellStart"/>
      <w:r w:rsidRPr="00934A35">
        <w:rPr>
          <w:lang w:val="uk-UA"/>
        </w:rPr>
        <w:t>консервативно</w:t>
      </w:r>
      <w:proofErr w:type="spellEnd"/>
      <w:r w:rsidRPr="00934A35">
        <w:rPr>
          <w:lang w:val="uk-UA"/>
        </w:rPr>
        <w:t>-релігійної аудиторії, і так і не був ухвалений;</w:t>
      </w:r>
    </w:p>
    <w:p w14:paraId="5346E171" w14:textId="489FE00B" w:rsidR="00A22E58" w:rsidRPr="00934A35" w:rsidRDefault="00A22E58" w:rsidP="00A22E58">
      <w:pPr>
        <w:pStyle w:val="aa"/>
        <w:numPr>
          <w:ilvl w:val="0"/>
          <w:numId w:val="2"/>
        </w:numPr>
        <w:contextualSpacing w:val="0"/>
        <w:rPr>
          <w:lang w:val="uk-UA"/>
        </w:rPr>
      </w:pPr>
      <w:r w:rsidRPr="00934A35">
        <w:rPr>
          <w:lang w:val="uk-UA"/>
        </w:rPr>
        <w:t>п. 109 захід 2 (розроблення та включення до програм підготовки працівників правоохоронних органів курсу з ефективного та належного розслідування злочинів на ґрунті нетерпимості).</w:t>
      </w:r>
    </w:p>
    <w:p w14:paraId="7FAEE52A" w14:textId="7BBE859B" w:rsidR="00A22E58" w:rsidRPr="00934A35" w:rsidRDefault="00A22E58" w:rsidP="0025514D">
      <w:pPr>
        <w:contextualSpacing w:val="0"/>
        <w:rPr>
          <w:lang w:val="uk-UA"/>
        </w:rPr>
      </w:pPr>
      <w:r w:rsidRPr="00934A35">
        <w:rPr>
          <w:lang w:val="uk-UA"/>
        </w:rPr>
        <w:t xml:space="preserve">Цей перелік не є вичерпним, ми згадали тільки найважливіші, з нашої точки зору, досі невиконані ЛГБТІ компоненти Плану дій. У неформальному спілкуванні представники українського уряду </w:t>
      </w:r>
      <w:r w:rsidR="004F030E" w:rsidRPr="00934A35">
        <w:rPr>
          <w:lang w:val="uk-UA"/>
        </w:rPr>
        <w:t xml:space="preserve">кажуть, що для виконання цих пунктів </w:t>
      </w:r>
      <w:r w:rsidR="00CF7A39" w:rsidRPr="00934A35">
        <w:rPr>
          <w:lang w:val="uk-UA"/>
        </w:rPr>
        <w:t>наразі</w:t>
      </w:r>
      <w:r w:rsidR="004F030E" w:rsidRPr="00934A35">
        <w:rPr>
          <w:lang w:val="uk-UA"/>
        </w:rPr>
        <w:t xml:space="preserve"> бракує «політичної волі» – тобто, прямих вказівок з Адміністрації </w:t>
      </w:r>
      <w:r w:rsidR="00A31195" w:rsidRPr="00934A35">
        <w:rPr>
          <w:lang w:val="uk-UA"/>
        </w:rPr>
        <w:t>п</w:t>
      </w:r>
      <w:r w:rsidR="004F030E" w:rsidRPr="00934A35">
        <w:rPr>
          <w:lang w:val="uk-UA"/>
        </w:rPr>
        <w:t xml:space="preserve">резидента або керівництва Кабінету </w:t>
      </w:r>
      <w:r w:rsidR="00A31195" w:rsidRPr="00934A35">
        <w:rPr>
          <w:lang w:val="uk-UA"/>
        </w:rPr>
        <w:t>М</w:t>
      </w:r>
      <w:r w:rsidR="004F030E" w:rsidRPr="00934A35">
        <w:rPr>
          <w:lang w:val="uk-UA"/>
        </w:rPr>
        <w:t>іністрів.</w:t>
      </w:r>
    </w:p>
    <w:p w14:paraId="14E6F950" w14:textId="77777777" w:rsidR="00A31195" w:rsidRPr="00934A35" w:rsidRDefault="00BD3B8F" w:rsidP="0025514D">
      <w:pPr>
        <w:contextualSpacing w:val="0"/>
        <w:rPr>
          <w:lang w:val="uk-UA"/>
        </w:rPr>
      </w:pPr>
      <w:r w:rsidRPr="00934A35">
        <w:rPr>
          <w:lang w:val="uk-UA"/>
        </w:rPr>
        <w:t>Також через спротив церков і релігійних організацій зупинився процес ратифікації Стамбульської конвенції (про запобігання насильству стосовно жінок і домашньому насильству). Солідарною вимогою основних українських церков є відмова від використання понять «сексуальна орієнтація», «</w:t>
      </w:r>
      <w:proofErr w:type="spellStart"/>
      <w:r w:rsidRPr="00934A35">
        <w:rPr>
          <w:lang w:val="uk-UA"/>
        </w:rPr>
        <w:t>ґендер</w:t>
      </w:r>
      <w:proofErr w:type="spellEnd"/>
      <w:r w:rsidRPr="00934A35">
        <w:rPr>
          <w:lang w:val="uk-UA"/>
        </w:rPr>
        <w:t xml:space="preserve">» та похідних від нього в українському законодавстві взагалі, а багато депутатів Верховної Ради України готові виконати будь-які </w:t>
      </w:r>
      <w:r w:rsidR="00CF7A39" w:rsidRPr="00934A35">
        <w:rPr>
          <w:lang w:val="uk-UA"/>
        </w:rPr>
        <w:t>по</w:t>
      </w:r>
      <w:r w:rsidRPr="00934A35">
        <w:rPr>
          <w:lang w:val="uk-UA"/>
        </w:rPr>
        <w:t xml:space="preserve">бажання Всеукраїнської ради церков і релігійних організацій. </w:t>
      </w:r>
    </w:p>
    <w:p w14:paraId="2B61B5A7" w14:textId="7815B397" w:rsidR="00BD3B8F" w:rsidRPr="00934A35" w:rsidRDefault="00CF7A39" w:rsidP="0025514D">
      <w:pPr>
        <w:contextualSpacing w:val="0"/>
        <w:rPr>
          <w:lang w:val="uk-UA"/>
        </w:rPr>
      </w:pPr>
      <w:r w:rsidRPr="00934A35">
        <w:rPr>
          <w:lang w:val="uk-UA"/>
        </w:rPr>
        <w:t xml:space="preserve">Разом з тим, незважаючи на опір церков та їхніх парламентських лобістів, вдалося зберегти поточну редакцію </w:t>
      </w:r>
      <w:proofErr w:type="spellStart"/>
      <w:r w:rsidRPr="00934A35">
        <w:rPr>
          <w:lang w:val="uk-UA"/>
        </w:rPr>
        <w:t>антидискримінаційної</w:t>
      </w:r>
      <w:proofErr w:type="spellEnd"/>
      <w:r w:rsidRPr="00934A35">
        <w:rPr>
          <w:lang w:val="uk-UA"/>
        </w:rPr>
        <w:t xml:space="preserve"> статті проекту Трудового кодексу України, яка передбачає явну заборону на дискримінацію за ознаками СОҐІ у трудових відносинах.</w:t>
      </w:r>
      <w:r w:rsidR="00A31195" w:rsidRPr="00934A35">
        <w:rPr>
          <w:lang w:val="en-US"/>
        </w:rPr>
        <w:t xml:space="preserve"> </w:t>
      </w:r>
      <w:r w:rsidR="00A31195" w:rsidRPr="00934A35">
        <w:rPr>
          <w:lang w:val="uk-UA"/>
        </w:rPr>
        <w:t>Також слід відзначити, що насамкінець 2016 року Кабінет Міністрів подав на розгляд Верховної Ради законопроект 5511, який, зокрема, передбачає внесення СОҐІ як захищених від дискримінації ознак до статті 11 закону «Про зайнятість населення», а також додання сексуальної орієнтації до списку ознак, за якими забороняється висувати вимоги у рекламних оголошеннях щодо прийому на роботу (стаття 24</w:t>
      </w:r>
      <w:r w:rsidR="00A31195" w:rsidRPr="00934A35">
        <w:rPr>
          <w:vertAlign w:val="superscript"/>
          <w:lang w:val="uk-UA"/>
        </w:rPr>
        <w:t>1</w:t>
      </w:r>
      <w:r w:rsidR="00A31195" w:rsidRPr="00934A35">
        <w:rPr>
          <w:lang w:val="uk-UA"/>
        </w:rPr>
        <w:t xml:space="preserve"> закону «Про рекламу»).</w:t>
      </w:r>
      <w:r w:rsidR="008F29B2" w:rsidRPr="00934A35">
        <w:rPr>
          <w:lang w:val="uk-UA"/>
        </w:rPr>
        <w:t xml:space="preserve"> Проте, на тлі поточних проблем з ухваленням вже заздалегідь запланованих законодавчих ініціатив, що стосуються захисту прав ЛГБТ, прийняття цього законопроекту у такому вигляді здається малоймовірним.</w:t>
      </w:r>
    </w:p>
    <w:p w14:paraId="221B0E8C" w14:textId="77777777" w:rsidR="00AF1F7A" w:rsidRPr="00934A35" w:rsidRDefault="00CB5B3F" w:rsidP="00AF1F7A">
      <w:pPr>
        <w:spacing w:before="240"/>
        <w:contextualSpacing w:val="0"/>
        <w:rPr>
          <w:b/>
          <w:lang w:val="uk-UA"/>
        </w:rPr>
      </w:pPr>
      <w:r w:rsidRPr="00934A35">
        <w:rPr>
          <w:b/>
          <w:lang w:val="uk-UA"/>
        </w:rPr>
        <w:t>Органи державної влади та місцевого самоврядування</w:t>
      </w:r>
    </w:p>
    <w:p w14:paraId="44CC0407" w14:textId="36EE7841" w:rsidR="007F4E71" w:rsidRPr="00934A35" w:rsidRDefault="008F29B2" w:rsidP="00C57D38">
      <w:pPr>
        <w:contextualSpacing w:val="0"/>
        <w:rPr>
          <w:lang w:val="uk-UA"/>
        </w:rPr>
      </w:pPr>
      <w:r w:rsidRPr="00934A35">
        <w:rPr>
          <w:lang w:val="uk-UA"/>
        </w:rPr>
        <w:t>Офіційні представники органів державної влади України у 2017 році з</w:t>
      </w:r>
      <w:r w:rsidR="00983A50" w:rsidRPr="00934A35">
        <w:rPr>
          <w:lang w:val="uk-UA"/>
        </w:rPr>
        <w:t>г</w:t>
      </w:r>
      <w:r w:rsidRPr="00934A35">
        <w:rPr>
          <w:lang w:val="uk-UA"/>
        </w:rPr>
        <w:t xml:space="preserve">адували про ЛГБТ </w:t>
      </w:r>
      <w:r w:rsidR="003878DD" w:rsidRPr="00934A35">
        <w:rPr>
          <w:lang w:val="uk-UA"/>
        </w:rPr>
        <w:t xml:space="preserve">дуже </w:t>
      </w:r>
      <w:proofErr w:type="spellStart"/>
      <w:r w:rsidR="003878DD" w:rsidRPr="00934A35">
        <w:rPr>
          <w:lang w:val="uk-UA"/>
        </w:rPr>
        <w:t>рідко</w:t>
      </w:r>
      <w:proofErr w:type="spellEnd"/>
      <w:r w:rsidR="003878DD" w:rsidRPr="00934A35">
        <w:rPr>
          <w:lang w:val="uk-UA"/>
        </w:rPr>
        <w:t xml:space="preserve"> і радше побічно, </w:t>
      </w:r>
      <w:r w:rsidRPr="00934A35">
        <w:rPr>
          <w:lang w:val="uk-UA"/>
        </w:rPr>
        <w:t xml:space="preserve">але, в цілому, демонстрували позитивне або принаймні нейтральне ставлення до захисту їхніх прав. </w:t>
      </w:r>
      <w:r w:rsidR="00B26915" w:rsidRPr="00934A35">
        <w:rPr>
          <w:lang w:val="uk-UA"/>
        </w:rPr>
        <w:t xml:space="preserve">Віце-прем’єрка з питань євроінтеграції Іванна </w:t>
      </w:r>
      <w:proofErr w:type="spellStart"/>
      <w:r w:rsidR="00B26915" w:rsidRPr="00934A35">
        <w:rPr>
          <w:lang w:val="uk-UA"/>
        </w:rPr>
        <w:t>Климпуш-Цинцадзе</w:t>
      </w:r>
      <w:proofErr w:type="spellEnd"/>
      <w:r w:rsidR="00B26915" w:rsidRPr="00934A35">
        <w:rPr>
          <w:lang w:val="uk-UA"/>
        </w:rPr>
        <w:t>, як і в минулому році, рішуче виступила на підтримку проведення Маршу Рівності у Києві та подолання негативних стереотипів щодо ЛГБТ в українському суспільстві.</w:t>
      </w:r>
      <w:r w:rsidR="00B836CA" w:rsidRPr="00934A35">
        <w:rPr>
          <w:lang w:val="uk-UA"/>
        </w:rPr>
        <w:t xml:space="preserve"> </w:t>
      </w:r>
      <w:r w:rsidR="007F4E71" w:rsidRPr="00934A35">
        <w:rPr>
          <w:lang w:val="uk-UA"/>
        </w:rPr>
        <w:t>В</w:t>
      </w:r>
      <w:r w:rsidR="0020383C" w:rsidRPr="00934A35">
        <w:rPr>
          <w:lang w:val="uk-UA"/>
        </w:rPr>
        <w:t xml:space="preserve">арто згадати інтерв’ю заступника голови ЦВК Андрія </w:t>
      </w:r>
      <w:proofErr w:type="spellStart"/>
      <w:r w:rsidR="0020383C" w:rsidRPr="00934A35">
        <w:rPr>
          <w:lang w:val="uk-UA"/>
        </w:rPr>
        <w:t>Магери</w:t>
      </w:r>
      <w:proofErr w:type="spellEnd"/>
      <w:r w:rsidR="0020383C" w:rsidRPr="00934A35">
        <w:rPr>
          <w:lang w:val="uk-UA"/>
        </w:rPr>
        <w:t xml:space="preserve"> інтернет-виданню «Мир», в якому він, зокрема, зауважив: «Наприклад, питання прав ЛГБТ – воно викликає спротив у суспільстві, тому політик міркує так: "Мене можуть кимось таким назвати – тож я не буду це питання піднімати". Але права людини – вони або є, або їх немає. Тут питання принципу. Винятків не буває».</w:t>
      </w:r>
      <w:r w:rsidR="007F4E71" w:rsidRPr="00934A35">
        <w:rPr>
          <w:lang w:val="uk-UA"/>
        </w:rPr>
        <w:t xml:space="preserve"> Також однозначно на підтримку рівноправ’я для ЛГБТ висловилася у своєму </w:t>
      </w:r>
      <w:proofErr w:type="spellStart"/>
      <w:r w:rsidR="007F4E71" w:rsidRPr="00934A35">
        <w:rPr>
          <w:lang w:val="uk-UA"/>
        </w:rPr>
        <w:t>Фейсбуку</w:t>
      </w:r>
      <w:proofErr w:type="spellEnd"/>
      <w:r w:rsidR="007F4E71" w:rsidRPr="00934A35">
        <w:rPr>
          <w:lang w:val="uk-UA"/>
        </w:rPr>
        <w:t xml:space="preserve"> заступниця міністра внутрішніх справ з питань євроінтеграції Анастасія </w:t>
      </w:r>
      <w:proofErr w:type="spellStart"/>
      <w:r w:rsidR="007F4E71" w:rsidRPr="00934A35">
        <w:rPr>
          <w:lang w:val="uk-UA"/>
        </w:rPr>
        <w:t>Дєєва</w:t>
      </w:r>
      <w:proofErr w:type="spellEnd"/>
      <w:r w:rsidR="007F4E71" w:rsidRPr="00934A35">
        <w:rPr>
          <w:lang w:val="uk-UA"/>
        </w:rPr>
        <w:t>: «Для мене всі громадяни України, в тому числі представники ЛГБТ та люди з інвалідністю, абсолютно рівні та мають користуватися однаковими правами. Це ключ до сильного та здорового суспільства!» Вона також дала розгорнуте інтерв’ю ЛГБТ журналу «PRIDE Укра</w:t>
      </w:r>
      <w:r w:rsidR="00B26915" w:rsidRPr="00934A35">
        <w:rPr>
          <w:lang w:val="uk-UA"/>
        </w:rPr>
        <w:t>ї</w:t>
      </w:r>
      <w:r w:rsidR="007F4E71" w:rsidRPr="00934A35">
        <w:rPr>
          <w:lang w:val="uk-UA"/>
        </w:rPr>
        <w:t>на».</w:t>
      </w:r>
    </w:p>
    <w:p w14:paraId="146FD13E" w14:textId="61C347CC" w:rsidR="006B69AE" w:rsidRPr="00934A35" w:rsidRDefault="007F4E71" w:rsidP="00C57D38">
      <w:pPr>
        <w:contextualSpacing w:val="0"/>
        <w:rPr>
          <w:lang w:val="uk-UA"/>
        </w:rPr>
      </w:pPr>
      <w:r w:rsidRPr="00934A35">
        <w:rPr>
          <w:lang w:val="uk-UA"/>
        </w:rPr>
        <w:t xml:space="preserve">Дуже важливою була заява президента України Петра Порошенка з приводу намагань релігійно-консервативних депутатів Верховної Ради прибрати з проекту нового Трудового кодексу явну заборону на дискримінацію за ознаками СОҐІ, що була поширена його прес-секретарем Святославом </w:t>
      </w:r>
      <w:proofErr w:type="spellStart"/>
      <w:r w:rsidRPr="00934A35">
        <w:rPr>
          <w:lang w:val="uk-UA"/>
        </w:rPr>
        <w:t>Цеголком</w:t>
      </w:r>
      <w:proofErr w:type="spellEnd"/>
      <w:r w:rsidRPr="00934A35">
        <w:rPr>
          <w:lang w:val="uk-UA"/>
        </w:rPr>
        <w:t xml:space="preserve">: «Президент не допустить ревізії зобов'язань України, які ми </w:t>
      </w:r>
      <w:r w:rsidRPr="00934A35">
        <w:rPr>
          <w:lang w:val="uk-UA"/>
        </w:rPr>
        <w:lastRenderedPageBreak/>
        <w:t xml:space="preserve">реалізували для отримання безвізового режиму. Рішення парламентського комітету вилучити з проекту нового Трудового кодексу так звані </w:t>
      </w:r>
      <w:proofErr w:type="spellStart"/>
      <w:r w:rsidRPr="00934A35">
        <w:rPr>
          <w:lang w:val="uk-UA"/>
        </w:rPr>
        <w:t>антидискримінаційні</w:t>
      </w:r>
      <w:proofErr w:type="spellEnd"/>
      <w:r w:rsidRPr="00934A35">
        <w:rPr>
          <w:lang w:val="uk-UA"/>
        </w:rPr>
        <w:t xml:space="preserve"> норми глава держави вважає помилковим і навіть провокативним. Петро Порошенко запевнив наших партнерів дипломатичними каналами, що така позиція комітету не знайде підтримки ні у Верховній Раді, ані тим більше з боку Президента. Україна виконувала, виконує і буде виконувати всі свої зобов'язання». Немає сумнівів, що саме така послідовна та тверда позиція глави держави призвела до відхилення відповідної поправки на засіданні профільного парламентського комітету.</w:t>
      </w:r>
    </w:p>
    <w:p w14:paraId="4DF6BC46" w14:textId="7102A1EF" w:rsidR="008F29B2" w:rsidRPr="00934A35" w:rsidRDefault="003D2750" w:rsidP="00C57D38">
      <w:pPr>
        <w:contextualSpacing w:val="0"/>
        <w:rPr>
          <w:lang w:val="uk-UA"/>
        </w:rPr>
      </w:pPr>
      <w:r w:rsidRPr="00934A35">
        <w:rPr>
          <w:lang w:val="uk-UA"/>
        </w:rPr>
        <w:t xml:space="preserve">Разом з тим, </w:t>
      </w:r>
      <w:r w:rsidR="00B26915" w:rsidRPr="00934A35">
        <w:rPr>
          <w:lang w:val="uk-UA"/>
        </w:rPr>
        <w:t xml:space="preserve">останнім часом </w:t>
      </w:r>
      <w:r w:rsidRPr="00934A35">
        <w:rPr>
          <w:lang w:val="uk-UA"/>
        </w:rPr>
        <w:t xml:space="preserve">по місцевих радах поширюється кампанія громадського руху «Всі разом!» – нового проекту відомого </w:t>
      </w:r>
      <w:proofErr w:type="spellStart"/>
      <w:r w:rsidRPr="00934A35">
        <w:rPr>
          <w:lang w:val="uk-UA"/>
        </w:rPr>
        <w:t>гомофобного</w:t>
      </w:r>
      <w:proofErr w:type="spellEnd"/>
      <w:r w:rsidRPr="00934A35">
        <w:rPr>
          <w:lang w:val="uk-UA"/>
        </w:rPr>
        <w:t xml:space="preserve"> журналіста та активіста Руслана Кухарчука – щодо ухвалення звернень до керівництва України про заборону «пропаганди гомосексуалізму» та </w:t>
      </w:r>
      <w:r w:rsidR="00833607" w:rsidRPr="00934A35">
        <w:rPr>
          <w:lang w:val="uk-UA"/>
        </w:rPr>
        <w:t xml:space="preserve">за збереження дискримінаційних щодо ЛГБТ положень в українському законодавстві. Наразі такі звернення (з майже аналогічним текстом, що ґрунтується  на резолюції учасників фестивалю «Всі разом – за сім’ю!», яку підписали біля півтисячі учасників цього заходу) були прийняті Рівненською, Тернопільською та Полтавською обласними радами, </w:t>
      </w:r>
      <w:r w:rsidR="00983A50" w:rsidRPr="00934A35">
        <w:rPr>
          <w:lang w:val="uk-UA"/>
        </w:rPr>
        <w:t>Острозькою, Кам’янець-Подільською та Фастівською міськрадами.</w:t>
      </w:r>
    </w:p>
    <w:p w14:paraId="18CCDF2B" w14:textId="4727F8D0" w:rsidR="00983A50" w:rsidRPr="00934A35" w:rsidRDefault="00983A50" w:rsidP="00C57D38">
      <w:pPr>
        <w:contextualSpacing w:val="0"/>
        <w:rPr>
          <w:lang w:val="uk-UA"/>
        </w:rPr>
      </w:pPr>
      <w:r w:rsidRPr="00934A35">
        <w:rPr>
          <w:lang w:val="uk-UA"/>
        </w:rPr>
        <w:t xml:space="preserve">Слід відзначити </w:t>
      </w:r>
      <w:r w:rsidR="0051000D" w:rsidRPr="00934A35">
        <w:rPr>
          <w:lang w:val="uk-UA"/>
        </w:rPr>
        <w:t xml:space="preserve">також і </w:t>
      </w:r>
      <w:r w:rsidRPr="00934A35">
        <w:rPr>
          <w:lang w:val="uk-UA"/>
        </w:rPr>
        <w:t xml:space="preserve">певні позитивні тенденції з боку органів місцевого самоврядування щодо побудови в Україні сучасного демократичного суспільства: так, </w:t>
      </w:r>
      <w:r w:rsidR="003878DD" w:rsidRPr="00934A35">
        <w:rPr>
          <w:lang w:val="uk-UA"/>
        </w:rPr>
        <w:t xml:space="preserve">на офіційній </w:t>
      </w:r>
      <w:proofErr w:type="spellStart"/>
      <w:r w:rsidR="003878DD" w:rsidRPr="00934A35">
        <w:rPr>
          <w:lang w:val="uk-UA"/>
        </w:rPr>
        <w:t>Фейсбук</w:t>
      </w:r>
      <w:proofErr w:type="spellEnd"/>
      <w:r w:rsidR="003878DD" w:rsidRPr="00934A35">
        <w:rPr>
          <w:lang w:val="uk-UA"/>
        </w:rPr>
        <w:t xml:space="preserve">-сторінці Ужгородської міської </w:t>
      </w:r>
      <w:r w:rsidR="007829C0" w:rsidRPr="00934A35">
        <w:rPr>
          <w:lang w:val="uk-UA"/>
        </w:rPr>
        <w:t>ради</w:t>
      </w:r>
      <w:r w:rsidR="003878DD" w:rsidRPr="00934A35">
        <w:rPr>
          <w:lang w:val="uk-UA"/>
        </w:rPr>
        <w:t xml:space="preserve"> було рішуче засуджено напад </w:t>
      </w:r>
      <w:proofErr w:type="spellStart"/>
      <w:r w:rsidR="003878DD" w:rsidRPr="00934A35">
        <w:rPr>
          <w:lang w:val="uk-UA"/>
        </w:rPr>
        <w:t>праворадикальних</w:t>
      </w:r>
      <w:proofErr w:type="spellEnd"/>
      <w:r w:rsidR="003878DD" w:rsidRPr="00934A35">
        <w:rPr>
          <w:lang w:val="uk-UA"/>
        </w:rPr>
        <w:t xml:space="preserve"> угрупувань на учасників акції з підтримки прав жінок та за ратифікацію Стамбульської конвенції, а мер Чернівців Олексій </w:t>
      </w:r>
      <w:proofErr w:type="spellStart"/>
      <w:r w:rsidR="003878DD" w:rsidRPr="00934A35">
        <w:rPr>
          <w:lang w:val="uk-UA"/>
        </w:rPr>
        <w:t>Каспрук</w:t>
      </w:r>
      <w:proofErr w:type="spellEnd"/>
      <w:r w:rsidR="003878DD" w:rsidRPr="00934A35">
        <w:rPr>
          <w:lang w:val="uk-UA"/>
        </w:rPr>
        <w:t xml:space="preserve">, який вже засуджував подібній напад на ЛГБТ захід у своєму місті, у цьому році привітав учасників </w:t>
      </w:r>
      <w:r w:rsidR="0020383C" w:rsidRPr="00934A35">
        <w:rPr>
          <w:lang w:val="uk-UA"/>
        </w:rPr>
        <w:t>круглого столу</w:t>
      </w:r>
      <w:r w:rsidR="003878DD" w:rsidRPr="00934A35">
        <w:rPr>
          <w:lang w:val="uk-UA"/>
        </w:rPr>
        <w:t xml:space="preserve"> з </w:t>
      </w:r>
      <w:r w:rsidR="0020383C" w:rsidRPr="00934A35">
        <w:rPr>
          <w:lang w:val="uk-UA"/>
        </w:rPr>
        <w:t xml:space="preserve">питань </w:t>
      </w:r>
      <w:r w:rsidR="003878DD" w:rsidRPr="00934A35">
        <w:rPr>
          <w:lang w:val="uk-UA"/>
        </w:rPr>
        <w:t>протидії «злочинам ненависті» проти ЛГБТ та підкресли</w:t>
      </w:r>
      <w:r w:rsidR="0020383C" w:rsidRPr="00934A35">
        <w:rPr>
          <w:lang w:val="uk-UA"/>
        </w:rPr>
        <w:t>в</w:t>
      </w:r>
      <w:r w:rsidR="003878DD" w:rsidRPr="00934A35">
        <w:rPr>
          <w:lang w:val="uk-UA"/>
        </w:rPr>
        <w:t xml:space="preserve"> важливість такої роботи для міської громади.</w:t>
      </w:r>
      <w:r w:rsidR="0051000D" w:rsidRPr="00934A35">
        <w:rPr>
          <w:lang w:val="uk-UA"/>
        </w:rPr>
        <w:t xml:space="preserve"> </w:t>
      </w:r>
      <w:r w:rsidR="00B836CA" w:rsidRPr="00934A35">
        <w:rPr>
          <w:lang w:val="uk-UA"/>
        </w:rPr>
        <w:t>У</w:t>
      </w:r>
      <w:r w:rsidR="0051000D" w:rsidRPr="00934A35">
        <w:rPr>
          <w:lang w:val="uk-UA"/>
        </w:rPr>
        <w:t xml:space="preserve"> 2017 </w:t>
      </w:r>
      <w:r w:rsidR="00B836CA" w:rsidRPr="00934A35">
        <w:rPr>
          <w:lang w:val="uk-UA"/>
        </w:rPr>
        <w:t>суттєво поменшала кількість звернень місцевої влади</w:t>
      </w:r>
      <w:r w:rsidR="0051000D" w:rsidRPr="00934A35">
        <w:rPr>
          <w:lang w:val="uk-UA"/>
        </w:rPr>
        <w:t xml:space="preserve"> до суду з </w:t>
      </w:r>
      <w:r w:rsidR="00BD6081" w:rsidRPr="00934A35">
        <w:rPr>
          <w:lang w:val="uk-UA"/>
        </w:rPr>
        <w:t>вимогою</w:t>
      </w:r>
      <w:r w:rsidR="0051000D" w:rsidRPr="00934A35">
        <w:rPr>
          <w:lang w:val="uk-UA"/>
        </w:rPr>
        <w:t xml:space="preserve"> </w:t>
      </w:r>
      <w:r w:rsidR="00507032" w:rsidRPr="00934A35">
        <w:rPr>
          <w:lang w:val="uk-UA"/>
        </w:rPr>
        <w:t>обмеження</w:t>
      </w:r>
      <w:r w:rsidR="0051000D" w:rsidRPr="00934A35">
        <w:rPr>
          <w:lang w:val="uk-UA"/>
        </w:rPr>
        <w:t xml:space="preserve"> публічн</w:t>
      </w:r>
      <w:r w:rsidR="00507032" w:rsidRPr="00934A35">
        <w:rPr>
          <w:lang w:val="uk-UA"/>
        </w:rPr>
        <w:t>их ЛГБТ заходів</w:t>
      </w:r>
      <w:r w:rsidR="00B836CA" w:rsidRPr="00934A35">
        <w:rPr>
          <w:lang w:val="uk-UA"/>
        </w:rPr>
        <w:t>: навіть Одеська міська рада, яка всі останні роки послідовно намагалася заборонити публічні масові ЛГБТ заходи у місті, цього року не стала цього робити</w:t>
      </w:r>
      <w:r w:rsidR="0051000D" w:rsidRPr="00934A35">
        <w:rPr>
          <w:lang w:val="uk-UA"/>
        </w:rPr>
        <w:t>.</w:t>
      </w:r>
      <w:r w:rsidR="00507032" w:rsidRPr="00934A35">
        <w:rPr>
          <w:lang w:val="uk-UA"/>
        </w:rPr>
        <w:t xml:space="preserve"> Водночас, мер Конотопа Артем </w:t>
      </w:r>
      <w:proofErr w:type="spellStart"/>
      <w:r w:rsidR="00507032" w:rsidRPr="00934A35">
        <w:rPr>
          <w:lang w:val="uk-UA"/>
        </w:rPr>
        <w:t>Семеніхін</w:t>
      </w:r>
      <w:proofErr w:type="spellEnd"/>
      <w:r w:rsidR="00507032" w:rsidRPr="00934A35">
        <w:rPr>
          <w:lang w:val="uk-UA"/>
        </w:rPr>
        <w:t xml:space="preserve"> та міська рада все ж таки намагалися заборонити проведення у місті Маршу Рівності, але суд відхилив їхні позовні вимоги</w:t>
      </w:r>
      <w:r w:rsidR="00BD6081" w:rsidRPr="00934A35">
        <w:rPr>
          <w:lang w:val="uk-UA"/>
        </w:rPr>
        <w:t xml:space="preserve"> (слід зауважити, що у дійсності цей марш не планувався і не проводився)</w:t>
      </w:r>
      <w:r w:rsidR="00507032" w:rsidRPr="00934A35">
        <w:rPr>
          <w:lang w:val="uk-UA"/>
        </w:rPr>
        <w:t>.</w:t>
      </w:r>
    </w:p>
    <w:p w14:paraId="38C56553" w14:textId="56460FAB" w:rsidR="009C05E1" w:rsidRPr="00934A35" w:rsidRDefault="0051000D" w:rsidP="00C57D38">
      <w:pPr>
        <w:contextualSpacing w:val="0"/>
        <w:rPr>
          <w:lang w:val="uk-UA"/>
        </w:rPr>
      </w:pPr>
      <w:r w:rsidRPr="00934A35">
        <w:rPr>
          <w:lang w:val="uk-UA"/>
        </w:rPr>
        <w:t>Як і всі останні роки,</w:t>
      </w:r>
      <w:r w:rsidR="008F410F" w:rsidRPr="00934A35">
        <w:rPr>
          <w:lang w:val="uk-UA"/>
        </w:rPr>
        <w:t xml:space="preserve"> офіс Уповноваженого Верховної Ради України з прав людини </w:t>
      </w:r>
      <w:r w:rsidRPr="00934A35">
        <w:rPr>
          <w:lang w:val="uk-UA"/>
        </w:rPr>
        <w:t>був найбільш активною державною інституцією щодо моніторингу порушень та захисту прав української ЛГБТ спільноти</w:t>
      </w:r>
      <w:r w:rsidR="008F410F" w:rsidRPr="00934A35">
        <w:rPr>
          <w:lang w:val="uk-UA"/>
        </w:rPr>
        <w:t>.</w:t>
      </w:r>
    </w:p>
    <w:p w14:paraId="5ECB482D" w14:textId="77777777" w:rsidR="00AF1F7A" w:rsidRPr="00934A35" w:rsidRDefault="00224AAB" w:rsidP="00AF1F7A">
      <w:pPr>
        <w:spacing w:before="240"/>
        <w:contextualSpacing w:val="0"/>
        <w:rPr>
          <w:b/>
          <w:lang w:val="uk-UA"/>
        </w:rPr>
      </w:pPr>
      <w:r w:rsidRPr="00934A35">
        <w:rPr>
          <w:b/>
          <w:lang w:val="uk-UA"/>
        </w:rPr>
        <w:t xml:space="preserve">Правоохоронні органи </w:t>
      </w:r>
      <w:r w:rsidR="00F70B75" w:rsidRPr="00934A35">
        <w:rPr>
          <w:b/>
          <w:lang w:val="uk-UA"/>
        </w:rPr>
        <w:t>та судова система</w:t>
      </w:r>
    </w:p>
    <w:p w14:paraId="0D608DA7" w14:textId="40E9F7D1" w:rsidR="00A9560F" w:rsidRPr="00934A35" w:rsidRDefault="00A9560F" w:rsidP="00C57D38">
      <w:pPr>
        <w:contextualSpacing w:val="0"/>
        <w:rPr>
          <w:lang w:val="uk-UA"/>
        </w:rPr>
      </w:pPr>
      <w:r w:rsidRPr="00934A35">
        <w:rPr>
          <w:lang w:val="uk-UA"/>
        </w:rPr>
        <w:t xml:space="preserve">У 2017 році продовжується та розширюється співробітництво між Національною поліцією України та ЛГБТ рухом – зокрема, представники патрульної поліції, Головного слідчого управління, Управління забезпечення прав людини брали участь у заходах, організованих Центром «Наш світ» та іншими ЛГБТ організаціями у різних регіонах України. Головними питаннями, що розглядалися на цих зустрічах, були протидія «злочинам ненависті» за мотивами </w:t>
      </w:r>
      <w:proofErr w:type="spellStart"/>
      <w:r w:rsidRPr="00934A35">
        <w:rPr>
          <w:lang w:val="uk-UA"/>
        </w:rPr>
        <w:t>гомо</w:t>
      </w:r>
      <w:proofErr w:type="spellEnd"/>
      <w:r w:rsidRPr="00934A35">
        <w:rPr>
          <w:lang w:val="uk-UA"/>
        </w:rPr>
        <w:t xml:space="preserve">- і </w:t>
      </w:r>
      <w:proofErr w:type="spellStart"/>
      <w:r w:rsidRPr="00934A35">
        <w:rPr>
          <w:lang w:val="uk-UA"/>
        </w:rPr>
        <w:t>трансфобії</w:t>
      </w:r>
      <w:proofErr w:type="spellEnd"/>
      <w:r w:rsidRPr="00934A35">
        <w:rPr>
          <w:lang w:val="uk-UA"/>
        </w:rPr>
        <w:t xml:space="preserve">, забезпечення безпеки </w:t>
      </w:r>
      <w:r w:rsidR="00FF7888" w:rsidRPr="00934A35">
        <w:rPr>
          <w:lang w:val="uk-UA"/>
        </w:rPr>
        <w:t>публічних ЛГБТ заходів, а також виховання толерантного та професійного поводження працівників поліції з ЛГБТ.</w:t>
      </w:r>
    </w:p>
    <w:p w14:paraId="47090AA3" w14:textId="595F4593" w:rsidR="00FF7888" w:rsidRPr="00934A35" w:rsidRDefault="00FF7888" w:rsidP="00C57D38">
      <w:pPr>
        <w:contextualSpacing w:val="0"/>
        <w:rPr>
          <w:lang w:val="uk-UA"/>
        </w:rPr>
      </w:pPr>
      <w:r w:rsidRPr="00934A35">
        <w:rPr>
          <w:lang w:val="uk-UA"/>
        </w:rPr>
        <w:t xml:space="preserve">У цьому році не було відзначено намагань поліції на місцях </w:t>
      </w:r>
      <w:proofErr w:type="spellStart"/>
      <w:r w:rsidRPr="00934A35">
        <w:rPr>
          <w:lang w:val="uk-UA"/>
        </w:rPr>
        <w:t>усунутися</w:t>
      </w:r>
      <w:proofErr w:type="spellEnd"/>
      <w:r w:rsidRPr="00934A35">
        <w:rPr>
          <w:lang w:val="uk-UA"/>
        </w:rPr>
        <w:t xml:space="preserve"> від охорони публічних ЛГБТ заходів і рекомендацій з її боку місцевій владі просто заборонити такі заходи, як це постійно траплялося у попередні роки. Як і минулого року, київська поліція дуже </w:t>
      </w:r>
      <w:proofErr w:type="spellStart"/>
      <w:r w:rsidRPr="00934A35">
        <w:rPr>
          <w:lang w:val="uk-UA"/>
        </w:rPr>
        <w:t>професійно</w:t>
      </w:r>
      <w:proofErr w:type="spellEnd"/>
      <w:r w:rsidRPr="00934A35">
        <w:rPr>
          <w:lang w:val="uk-UA"/>
        </w:rPr>
        <w:t xml:space="preserve"> та ефективно забезпечила охорону Маршу Рівності від </w:t>
      </w:r>
      <w:proofErr w:type="spellStart"/>
      <w:r w:rsidRPr="00934A35">
        <w:rPr>
          <w:lang w:val="uk-UA"/>
        </w:rPr>
        <w:t>гомофобної</w:t>
      </w:r>
      <w:proofErr w:type="spellEnd"/>
      <w:r w:rsidRPr="00934A35">
        <w:rPr>
          <w:lang w:val="uk-UA"/>
        </w:rPr>
        <w:t xml:space="preserve"> агресії, також досить адекватною була охорона цього заходу в Одесі. Разом з тим, </w:t>
      </w:r>
      <w:r w:rsidR="004670E0" w:rsidRPr="00934A35">
        <w:rPr>
          <w:lang w:val="uk-UA"/>
        </w:rPr>
        <w:t xml:space="preserve">незважаючи на достатню кількість правоохоронців на місті подій, поліція не змогла завадити нападам груп вкрай агресивних </w:t>
      </w:r>
      <w:proofErr w:type="spellStart"/>
      <w:r w:rsidR="004670E0" w:rsidRPr="00934A35">
        <w:rPr>
          <w:lang w:val="uk-UA"/>
        </w:rPr>
        <w:t>гомофобних</w:t>
      </w:r>
      <w:proofErr w:type="spellEnd"/>
      <w:r w:rsidR="004670E0" w:rsidRPr="00934A35">
        <w:rPr>
          <w:lang w:val="uk-UA"/>
        </w:rPr>
        <w:t xml:space="preserve"> молодиків на невеликі </w:t>
      </w:r>
      <w:r w:rsidRPr="00934A35">
        <w:rPr>
          <w:lang w:val="uk-UA"/>
        </w:rPr>
        <w:t>ЛГБТ акції у Херсоні та Харкові</w:t>
      </w:r>
      <w:r w:rsidR="004670E0" w:rsidRPr="00934A35">
        <w:rPr>
          <w:lang w:val="uk-UA"/>
        </w:rPr>
        <w:t>, які, в результаті цього,</w:t>
      </w:r>
      <w:r w:rsidRPr="00934A35">
        <w:rPr>
          <w:lang w:val="uk-UA"/>
        </w:rPr>
        <w:t xml:space="preserve"> були </w:t>
      </w:r>
      <w:r w:rsidR="004670E0" w:rsidRPr="00934A35">
        <w:rPr>
          <w:lang w:val="uk-UA"/>
        </w:rPr>
        <w:t xml:space="preserve">повністю зірвані. Взагалі, бездіяльність або надто пасивна реакція на жорстко агресивну поведінку супротивників ЛГБТ заходів залишається характерною для української поліції, яка у таких випадках намагається лише відгородити жертв нападу від агресорів, але не поспішає </w:t>
      </w:r>
      <w:r w:rsidR="004670E0" w:rsidRPr="00934A35">
        <w:rPr>
          <w:lang w:val="uk-UA"/>
        </w:rPr>
        <w:lastRenderedPageBreak/>
        <w:t>покласти край очевидному порушенню громадського порядку та громадянських прав учасників акції.</w:t>
      </w:r>
    </w:p>
    <w:p w14:paraId="7BF8CDE6" w14:textId="76BF5573" w:rsidR="00833C14" w:rsidRPr="00934A35" w:rsidRDefault="00833C14" w:rsidP="00C57D38">
      <w:pPr>
        <w:contextualSpacing w:val="0"/>
        <w:rPr>
          <w:lang w:val="uk-UA"/>
        </w:rPr>
      </w:pPr>
      <w:r w:rsidRPr="00934A35">
        <w:rPr>
          <w:lang w:val="uk-UA"/>
        </w:rPr>
        <w:t xml:space="preserve">Вкрай незадовільною залишається практика розслідування «злочинів ненависті» за мотивами </w:t>
      </w:r>
      <w:proofErr w:type="spellStart"/>
      <w:r w:rsidRPr="00934A35">
        <w:rPr>
          <w:lang w:val="uk-UA"/>
        </w:rPr>
        <w:t>гомо</w:t>
      </w:r>
      <w:proofErr w:type="spellEnd"/>
      <w:r w:rsidRPr="00934A35">
        <w:rPr>
          <w:lang w:val="uk-UA"/>
        </w:rPr>
        <w:t xml:space="preserve">- або </w:t>
      </w:r>
      <w:proofErr w:type="spellStart"/>
      <w:r w:rsidRPr="00934A35">
        <w:rPr>
          <w:lang w:val="uk-UA"/>
        </w:rPr>
        <w:t>трансфобії</w:t>
      </w:r>
      <w:proofErr w:type="spellEnd"/>
      <w:r w:rsidRPr="00934A35">
        <w:rPr>
          <w:lang w:val="uk-UA"/>
        </w:rPr>
        <w:t xml:space="preserve">. Як і раніше, слідчі намагаються усіляко ігнорувати </w:t>
      </w:r>
      <w:proofErr w:type="spellStart"/>
      <w:r w:rsidRPr="00934A35">
        <w:rPr>
          <w:lang w:val="uk-UA"/>
        </w:rPr>
        <w:t>гомофобну</w:t>
      </w:r>
      <w:proofErr w:type="spellEnd"/>
      <w:r w:rsidRPr="00934A35">
        <w:rPr>
          <w:lang w:val="uk-UA"/>
        </w:rPr>
        <w:t xml:space="preserve"> мотивацію злочинців, а часто й самі припускаються відверто </w:t>
      </w:r>
      <w:proofErr w:type="spellStart"/>
      <w:r w:rsidRPr="00934A35">
        <w:rPr>
          <w:lang w:val="uk-UA"/>
        </w:rPr>
        <w:t>гомофобної</w:t>
      </w:r>
      <w:proofErr w:type="spellEnd"/>
      <w:r w:rsidRPr="00934A35">
        <w:rPr>
          <w:lang w:val="uk-UA"/>
        </w:rPr>
        <w:t xml:space="preserve"> та непрофесійної поведінки стосовно ЛГБТ жертв злочинів. Частково небажання слідчих та прокурорів правильно кваліфікувати та розслідувати такі злочини пояснюється недосконалістю </w:t>
      </w:r>
      <w:r w:rsidR="00F4413B" w:rsidRPr="00934A35">
        <w:rPr>
          <w:lang w:val="uk-UA"/>
        </w:rPr>
        <w:t xml:space="preserve">українського законодавства, яке не розглядає </w:t>
      </w:r>
      <w:proofErr w:type="spellStart"/>
      <w:r w:rsidR="00F4413B" w:rsidRPr="00934A35">
        <w:rPr>
          <w:lang w:val="uk-UA"/>
        </w:rPr>
        <w:t>гомофобні</w:t>
      </w:r>
      <w:proofErr w:type="spellEnd"/>
      <w:r w:rsidR="00F4413B" w:rsidRPr="00934A35">
        <w:rPr>
          <w:lang w:val="uk-UA"/>
        </w:rPr>
        <w:t xml:space="preserve"> мотиви як обтяжливі обставини при скоєнні злочинів. Цей недолік мав би бути виправлений згідно Плану дій з реалізації Національної стратегії у сфері прав людини, але, як вже було зазначено, Міністерство внутрішніх справ послідовно опирається внесенню відповідних змін до Кримінального кодексу, що передбачен</w:t>
      </w:r>
      <w:r w:rsidR="007A6E4E" w:rsidRPr="00934A35">
        <w:rPr>
          <w:lang w:val="uk-UA"/>
        </w:rPr>
        <w:t>о</w:t>
      </w:r>
      <w:r w:rsidR="00F4413B" w:rsidRPr="00934A35">
        <w:rPr>
          <w:lang w:val="uk-UA"/>
        </w:rPr>
        <w:t xml:space="preserve"> цим Планом дій. Незважаючи на те, що термін виконання цього положення (пункт 105 захід 3) сплив </w:t>
      </w:r>
      <w:r w:rsidR="004E6247" w:rsidRPr="00934A35">
        <w:rPr>
          <w:lang w:val="uk-UA"/>
        </w:rPr>
        <w:t xml:space="preserve">уже </w:t>
      </w:r>
      <w:r w:rsidR="00F4413B" w:rsidRPr="00934A35">
        <w:rPr>
          <w:lang w:val="uk-UA"/>
        </w:rPr>
        <w:t>у минулому році, МВС досі не розробило потрібний законопроект, а натомість чекає рішення Кабінету Міністрів, яке би з</w:t>
      </w:r>
      <w:r w:rsidR="004E6247" w:rsidRPr="00934A35">
        <w:rPr>
          <w:lang w:val="uk-UA"/>
        </w:rPr>
        <w:t>мінило формулювання цього пункту Плану дій</w:t>
      </w:r>
      <w:r w:rsidR="00F4413B" w:rsidRPr="00934A35">
        <w:rPr>
          <w:lang w:val="uk-UA"/>
        </w:rPr>
        <w:t>.</w:t>
      </w:r>
    </w:p>
    <w:p w14:paraId="68CE7525" w14:textId="7F561E06" w:rsidR="004E6247" w:rsidRPr="00934A35" w:rsidRDefault="00950F41" w:rsidP="00C57D38">
      <w:pPr>
        <w:contextualSpacing w:val="0"/>
        <w:rPr>
          <w:lang w:val="uk-UA"/>
        </w:rPr>
      </w:pPr>
      <w:r w:rsidRPr="00934A35">
        <w:rPr>
          <w:lang w:val="uk-UA"/>
        </w:rPr>
        <w:t>Українські суди у 201</w:t>
      </w:r>
      <w:r w:rsidR="004E6247" w:rsidRPr="00934A35">
        <w:rPr>
          <w:lang w:val="uk-UA"/>
        </w:rPr>
        <w:t>7</w:t>
      </w:r>
      <w:r w:rsidRPr="00934A35">
        <w:rPr>
          <w:lang w:val="uk-UA"/>
        </w:rPr>
        <w:t xml:space="preserve"> році</w:t>
      </w:r>
      <w:r w:rsidR="004E6247" w:rsidRPr="00934A35">
        <w:rPr>
          <w:lang w:val="uk-UA"/>
        </w:rPr>
        <w:t>, наскільки нам відомо,</w:t>
      </w:r>
      <w:r w:rsidRPr="00934A35">
        <w:rPr>
          <w:lang w:val="uk-UA"/>
        </w:rPr>
        <w:t xml:space="preserve"> </w:t>
      </w:r>
      <w:r w:rsidR="004E6247" w:rsidRPr="00934A35">
        <w:rPr>
          <w:lang w:val="uk-UA"/>
        </w:rPr>
        <w:t>не виносили очевидно протиправних рішень щодо заборони публічних ЛГБТ акцій, як це часто траплялося раніше. У єдиному відомому випадку, коли місцева влада намагалася заборонити проведення Маршу Рівності у Конотопі через нібито неможливість забезпечити його ефективну охорону поліцією, суд відмовив позивачу у задоволенні його вимог.</w:t>
      </w:r>
    </w:p>
    <w:p w14:paraId="1AC7A9C9" w14:textId="77777777" w:rsidR="00AF1F7A" w:rsidRPr="00934A35" w:rsidRDefault="00AF1F7A" w:rsidP="00AF1F7A">
      <w:pPr>
        <w:spacing w:before="240"/>
        <w:contextualSpacing w:val="0"/>
        <w:rPr>
          <w:b/>
          <w:lang w:val="uk-UA"/>
        </w:rPr>
      </w:pPr>
      <w:r w:rsidRPr="00934A35">
        <w:rPr>
          <w:b/>
          <w:lang w:val="uk-UA"/>
        </w:rPr>
        <w:t>Політика</w:t>
      </w:r>
    </w:p>
    <w:p w14:paraId="6E989698" w14:textId="015DF0C5" w:rsidR="005A4179" w:rsidRPr="00934A35" w:rsidRDefault="005A4179" w:rsidP="00C57D38">
      <w:pPr>
        <w:contextualSpacing w:val="0"/>
        <w:rPr>
          <w:lang w:val="uk-UA"/>
        </w:rPr>
      </w:pPr>
      <w:r w:rsidRPr="00934A35">
        <w:rPr>
          <w:lang w:val="uk-UA"/>
        </w:rPr>
        <w:t xml:space="preserve">Якщо у попередньому році багато українських політиків та політичних сил </w:t>
      </w:r>
      <w:r w:rsidR="00DF6D9A" w:rsidRPr="00934A35">
        <w:rPr>
          <w:lang w:val="uk-UA"/>
        </w:rPr>
        <w:t xml:space="preserve">висловилися з приводу ЛГБТ питань, особливо у зв’язку з проведенням Маршу Рівності у Києві, цього року їхній інтерес до таких питань був суттєво менш помітним. Ілюстрацією цього може слугувати те, що у київському Марші Рівності 2016 взяли участь сім народних депутатів України, то у цьому – лише одна Світлана </w:t>
      </w:r>
      <w:proofErr w:type="spellStart"/>
      <w:r w:rsidR="00DF6D9A" w:rsidRPr="00934A35">
        <w:rPr>
          <w:lang w:val="uk-UA"/>
        </w:rPr>
        <w:t>Заліщук</w:t>
      </w:r>
      <w:proofErr w:type="spellEnd"/>
      <w:r w:rsidR="00DF6D9A" w:rsidRPr="00934A35">
        <w:rPr>
          <w:lang w:val="uk-UA"/>
        </w:rPr>
        <w:t xml:space="preserve">. </w:t>
      </w:r>
    </w:p>
    <w:p w14:paraId="492D0C45" w14:textId="65FB72CF" w:rsidR="007C0921" w:rsidRPr="00934A35" w:rsidRDefault="00DF6D9A" w:rsidP="00C57D38">
      <w:pPr>
        <w:contextualSpacing w:val="0"/>
        <w:rPr>
          <w:lang w:val="uk-UA"/>
        </w:rPr>
      </w:pPr>
      <w:r w:rsidRPr="00934A35">
        <w:rPr>
          <w:lang w:val="uk-UA"/>
        </w:rPr>
        <w:t xml:space="preserve">Традиційно велику увагу та агресивно-вороже ставлення до ЛГБТ заходів демонстрували </w:t>
      </w:r>
      <w:proofErr w:type="spellStart"/>
      <w:r w:rsidRPr="00934A35">
        <w:rPr>
          <w:lang w:val="uk-UA"/>
        </w:rPr>
        <w:t>праворадикальні</w:t>
      </w:r>
      <w:proofErr w:type="spellEnd"/>
      <w:r w:rsidRPr="00934A35">
        <w:rPr>
          <w:lang w:val="uk-UA"/>
        </w:rPr>
        <w:t xml:space="preserve"> націоналістичні політики та політичні угрупування, зокрема, </w:t>
      </w:r>
      <w:r w:rsidR="003D5222" w:rsidRPr="00934A35">
        <w:rPr>
          <w:lang w:val="uk-UA"/>
        </w:rPr>
        <w:t xml:space="preserve">«Свобода», </w:t>
      </w:r>
      <w:r w:rsidRPr="00934A35">
        <w:rPr>
          <w:lang w:val="uk-UA"/>
        </w:rPr>
        <w:t>«Правий сектор», «Сок</w:t>
      </w:r>
      <w:r w:rsidR="007C0921" w:rsidRPr="00934A35">
        <w:rPr>
          <w:lang w:val="uk-UA"/>
        </w:rPr>
        <w:t>і</w:t>
      </w:r>
      <w:r w:rsidRPr="00934A35">
        <w:rPr>
          <w:lang w:val="uk-UA"/>
        </w:rPr>
        <w:t>л», «Братство»</w:t>
      </w:r>
      <w:r w:rsidR="003D5222" w:rsidRPr="00934A35">
        <w:rPr>
          <w:lang w:val="uk-UA"/>
        </w:rPr>
        <w:t xml:space="preserve"> тощо. </w:t>
      </w:r>
      <w:r w:rsidR="007C0921" w:rsidRPr="00934A35">
        <w:rPr>
          <w:lang w:val="uk-UA"/>
        </w:rPr>
        <w:t xml:space="preserve">На відміну від решти політичних сил, всі останні роки вони тільки підсилювали свою </w:t>
      </w:r>
      <w:proofErr w:type="spellStart"/>
      <w:r w:rsidR="007C0921" w:rsidRPr="00934A35">
        <w:rPr>
          <w:lang w:val="uk-UA"/>
        </w:rPr>
        <w:t>гомофобну</w:t>
      </w:r>
      <w:proofErr w:type="spellEnd"/>
      <w:r w:rsidR="007C0921" w:rsidRPr="00934A35">
        <w:rPr>
          <w:lang w:val="uk-UA"/>
        </w:rPr>
        <w:t xml:space="preserve"> риторику та агресивність по всій країні – здається, боротьба проти ЛГБТ стає одним з головних напрямків їхньої суспільно-політичної активності в цілому. У цьому році радикально-націоналістичні угрупування знову намагалися зірвати всі публічні ЛГБТ заходи, а також перейшли до вибіркового цькування громадських діячів, які відкрито підтримують ЛГБТ: так, у серпні вони зірвали презентацію книги Олени Герасим’юк </w:t>
      </w:r>
      <w:r w:rsidR="008923A3" w:rsidRPr="00934A35">
        <w:rPr>
          <w:lang w:val="uk-UA"/>
        </w:rPr>
        <w:t>«</w:t>
      </w:r>
      <w:proofErr w:type="spellStart"/>
      <w:r w:rsidR="008923A3" w:rsidRPr="00934A35">
        <w:rPr>
          <w:lang w:val="uk-UA"/>
        </w:rPr>
        <w:t>Розстрільний</w:t>
      </w:r>
      <w:proofErr w:type="spellEnd"/>
      <w:r w:rsidR="008923A3" w:rsidRPr="00934A35">
        <w:rPr>
          <w:lang w:val="uk-UA"/>
        </w:rPr>
        <w:t xml:space="preserve"> календар» про політичні репресії в радянській Україні </w:t>
      </w:r>
      <w:r w:rsidR="007C0921" w:rsidRPr="00934A35">
        <w:rPr>
          <w:lang w:val="uk-UA"/>
        </w:rPr>
        <w:t>на фестивалі «</w:t>
      </w:r>
      <w:proofErr w:type="spellStart"/>
      <w:r w:rsidR="007C0921" w:rsidRPr="00934A35">
        <w:rPr>
          <w:lang w:val="uk-UA"/>
        </w:rPr>
        <w:t>Бандерштат</w:t>
      </w:r>
      <w:proofErr w:type="spellEnd"/>
      <w:r w:rsidR="007C0921" w:rsidRPr="00934A35">
        <w:rPr>
          <w:lang w:val="uk-UA"/>
        </w:rPr>
        <w:t>»</w:t>
      </w:r>
      <w:r w:rsidR="008923A3" w:rsidRPr="00934A35">
        <w:rPr>
          <w:lang w:val="uk-UA"/>
        </w:rPr>
        <w:t xml:space="preserve"> у Луцьку, просто через те, що авторка оголосила про свою підтримку </w:t>
      </w:r>
      <w:r w:rsidR="009236A3" w:rsidRPr="00934A35">
        <w:rPr>
          <w:lang w:val="uk-UA"/>
        </w:rPr>
        <w:t>М</w:t>
      </w:r>
      <w:r w:rsidR="008923A3" w:rsidRPr="00934A35">
        <w:rPr>
          <w:lang w:val="uk-UA"/>
        </w:rPr>
        <w:t>аршу Рівності у Києві.</w:t>
      </w:r>
    </w:p>
    <w:p w14:paraId="3B1D190C" w14:textId="0DDA783A" w:rsidR="00DF6D9A" w:rsidRPr="00934A35" w:rsidRDefault="003D5222" w:rsidP="00C57D38">
      <w:pPr>
        <w:contextualSpacing w:val="0"/>
        <w:rPr>
          <w:lang w:val="uk-UA"/>
        </w:rPr>
      </w:pPr>
      <w:r w:rsidRPr="00934A35">
        <w:rPr>
          <w:lang w:val="uk-UA"/>
        </w:rPr>
        <w:t>Неагресивну політичну опозицію ЛГБТ складають представники консервативних сил, які охоче лобіюють інтереси церков та релігійних організацій: депутати Верховної Ради від «Опозиційн</w:t>
      </w:r>
      <w:r w:rsidR="00E113BD" w:rsidRPr="00934A35">
        <w:rPr>
          <w:lang w:val="uk-UA"/>
        </w:rPr>
        <w:t>ого</w:t>
      </w:r>
      <w:r w:rsidRPr="00934A35">
        <w:rPr>
          <w:lang w:val="uk-UA"/>
        </w:rPr>
        <w:t xml:space="preserve"> блоку», «Народного фронту» тощо. Слід підкреслити особливу активність народного депутата України Павла </w:t>
      </w:r>
      <w:proofErr w:type="spellStart"/>
      <w:r w:rsidRPr="00934A35">
        <w:rPr>
          <w:lang w:val="uk-UA"/>
        </w:rPr>
        <w:t>Унгуряна</w:t>
      </w:r>
      <w:proofErr w:type="spellEnd"/>
      <w:r w:rsidRPr="00934A35">
        <w:rPr>
          <w:lang w:val="uk-UA"/>
        </w:rPr>
        <w:t xml:space="preserve">, який є дуже активним і головним лобістом інтересів церкви та автором переважної більшості </w:t>
      </w:r>
      <w:proofErr w:type="spellStart"/>
      <w:r w:rsidRPr="00934A35">
        <w:rPr>
          <w:lang w:val="uk-UA"/>
        </w:rPr>
        <w:t>гомофобних</w:t>
      </w:r>
      <w:proofErr w:type="spellEnd"/>
      <w:r w:rsidRPr="00934A35">
        <w:rPr>
          <w:lang w:val="uk-UA"/>
        </w:rPr>
        <w:t xml:space="preserve"> законодавчих ініціатив у поточному скликанні українського парламенту.</w:t>
      </w:r>
      <w:r w:rsidR="008923A3" w:rsidRPr="00934A35">
        <w:rPr>
          <w:lang w:val="uk-UA"/>
        </w:rPr>
        <w:t xml:space="preserve"> Такі ініціативи, зазвичай, отримують підтримку з боку великої кількості представників практично усіх фракцій Верховної Ради; якщо немає чітко висловленої позиції партійного керівництва, то серед тих, хто з готовністю голосує за </w:t>
      </w:r>
      <w:proofErr w:type="spellStart"/>
      <w:r w:rsidR="008923A3" w:rsidRPr="00934A35">
        <w:rPr>
          <w:lang w:val="uk-UA"/>
        </w:rPr>
        <w:t>гомофобні</w:t>
      </w:r>
      <w:proofErr w:type="spellEnd"/>
      <w:r w:rsidR="008923A3" w:rsidRPr="00934A35">
        <w:rPr>
          <w:lang w:val="uk-UA"/>
        </w:rPr>
        <w:t xml:space="preserve"> законопроекти та демонструє відповідну риторику зустрічається і чимало членів правлячої коаліції Блоку Петра Порошенка та «Народного фронту». Характерним є випадок з прес-секретарем сумської організації БПП </w:t>
      </w:r>
      <w:r w:rsidR="00092B7F" w:rsidRPr="00934A35">
        <w:rPr>
          <w:lang w:val="uk-UA"/>
        </w:rPr>
        <w:t>Ольгою Панфіловою:</w:t>
      </w:r>
      <w:r w:rsidR="008923A3" w:rsidRPr="00934A35">
        <w:rPr>
          <w:lang w:val="uk-UA"/>
        </w:rPr>
        <w:t xml:space="preserve"> </w:t>
      </w:r>
      <w:r w:rsidR="00092B7F" w:rsidRPr="00934A35">
        <w:rPr>
          <w:lang w:val="uk-UA"/>
        </w:rPr>
        <w:t xml:space="preserve">після того, як вона вийшла на пікет у підтримку київського Маршу Рівності, їй зателефонувала керівниця секретаріату Сумської територіальної організації БПП Марина Нагорна та у дуже грубій формі повідомила, що цим вчинком вона зганьбила партію, і за це її буде звільнено з роботи. Після цього Ольга Панфілова сама звільнилася зі своєї посади, не бажаючи працювати у такій організації. Слід, однак, </w:t>
      </w:r>
      <w:r w:rsidR="00092B7F" w:rsidRPr="00934A35">
        <w:rPr>
          <w:lang w:val="uk-UA"/>
        </w:rPr>
        <w:lastRenderedPageBreak/>
        <w:t>відзначити, що, прознавши з преси та інтернету про ці події</w:t>
      </w:r>
      <w:r w:rsidR="00D60D83" w:rsidRPr="00934A35">
        <w:rPr>
          <w:lang w:val="uk-UA"/>
        </w:rPr>
        <w:t>,</w:t>
      </w:r>
      <w:r w:rsidR="00092B7F" w:rsidRPr="00934A35">
        <w:rPr>
          <w:lang w:val="uk-UA"/>
        </w:rPr>
        <w:t xml:space="preserve"> керівник секретаріату БПП народн</w:t>
      </w:r>
      <w:r w:rsidR="00D60D83" w:rsidRPr="00934A35">
        <w:rPr>
          <w:lang w:val="uk-UA"/>
        </w:rPr>
        <w:t>ий депутат</w:t>
      </w:r>
      <w:r w:rsidR="00092B7F" w:rsidRPr="00934A35">
        <w:rPr>
          <w:lang w:val="uk-UA"/>
        </w:rPr>
        <w:t xml:space="preserve"> України </w:t>
      </w:r>
      <w:r w:rsidR="00D60D83" w:rsidRPr="00934A35">
        <w:rPr>
          <w:lang w:val="uk-UA"/>
        </w:rPr>
        <w:t>Максим</w:t>
      </w:r>
      <w:r w:rsidR="00092B7F" w:rsidRPr="00934A35">
        <w:rPr>
          <w:lang w:val="uk-UA"/>
        </w:rPr>
        <w:t xml:space="preserve"> </w:t>
      </w:r>
      <w:proofErr w:type="spellStart"/>
      <w:r w:rsidR="00092B7F" w:rsidRPr="00934A35">
        <w:rPr>
          <w:lang w:val="uk-UA"/>
        </w:rPr>
        <w:t>Саврасов</w:t>
      </w:r>
      <w:proofErr w:type="spellEnd"/>
      <w:r w:rsidR="00D60D83" w:rsidRPr="00934A35">
        <w:rPr>
          <w:lang w:val="uk-UA"/>
        </w:rPr>
        <w:t xml:space="preserve"> публічно</w:t>
      </w:r>
      <w:r w:rsidR="00092B7F" w:rsidRPr="00934A35">
        <w:rPr>
          <w:lang w:val="uk-UA"/>
        </w:rPr>
        <w:t xml:space="preserve"> засуди</w:t>
      </w:r>
      <w:r w:rsidR="00D60D83" w:rsidRPr="00934A35">
        <w:rPr>
          <w:lang w:val="uk-UA"/>
        </w:rPr>
        <w:t>в</w:t>
      </w:r>
      <w:r w:rsidR="00092B7F" w:rsidRPr="00934A35">
        <w:rPr>
          <w:lang w:val="uk-UA"/>
        </w:rPr>
        <w:t xml:space="preserve"> поведінку керівництва сумсь</w:t>
      </w:r>
      <w:r w:rsidR="00D60D83" w:rsidRPr="00934A35">
        <w:rPr>
          <w:lang w:val="uk-UA"/>
        </w:rPr>
        <w:t>кої організації, приніс офіційні вибачення Ользі Панфіловій та підкреслив, що його партія «завжди обстоювала дотримання прав людини і категорично засуджує будь-які форми дискримінації».</w:t>
      </w:r>
    </w:p>
    <w:p w14:paraId="55025AA9" w14:textId="13876A8A" w:rsidR="00D60D83" w:rsidRPr="00934A35" w:rsidRDefault="00D60D83" w:rsidP="00C57D38">
      <w:pPr>
        <w:contextualSpacing w:val="0"/>
        <w:rPr>
          <w:lang w:val="uk-UA"/>
        </w:rPr>
      </w:pPr>
      <w:r w:rsidRPr="00934A35">
        <w:rPr>
          <w:lang w:val="uk-UA"/>
        </w:rPr>
        <w:t xml:space="preserve">Позитивною тенденцією з боку неагресивних </w:t>
      </w:r>
      <w:proofErr w:type="spellStart"/>
      <w:r w:rsidRPr="00934A35">
        <w:rPr>
          <w:lang w:val="uk-UA"/>
        </w:rPr>
        <w:t>гомофобних</w:t>
      </w:r>
      <w:proofErr w:type="spellEnd"/>
      <w:r w:rsidRPr="00934A35">
        <w:rPr>
          <w:lang w:val="uk-UA"/>
        </w:rPr>
        <w:t xml:space="preserve"> суспільно-політичних сил є те, що в останні пару років вони перейшли від закликів та намагань заборонити публічні ЛГБТ акції до проведення власних, так би мовити, контракцій, які мають мирний і неконфронтаційний характер. Вже згадуваний вище громадський рух «Всі разом!» спеціалізується на проведенні фестивалів, маршів та інших заходів на підтримку «традиційної української сім’ї», які за активної підтримки та участі духовенства </w:t>
      </w:r>
      <w:r w:rsidR="003545ED" w:rsidRPr="00934A35">
        <w:rPr>
          <w:lang w:val="uk-UA"/>
        </w:rPr>
        <w:t xml:space="preserve">різних конфесій </w:t>
      </w:r>
      <w:r w:rsidRPr="00934A35">
        <w:rPr>
          <w:lang w:val="uk-UA"/>
        </w:rPr>
        <w:t>відбулися цього року у декількох містах України</w:t>
      </w:r>
      <w:r w:rsidR="003545ED" w:rsidRPr="00934A35">
        <w:rPr>
          <w:lang w:val="uk-UA"/>
        </w:rPr>
        <w:t xml:space="preserve"> –</w:t>
      </w:r>
      <w:r w:rsidRPr="00934A35">
        <w:rPr>
          <w:lang w:val="uk-UA"/>
        </w:rPr>
        <w:t xml:space="preserve"> зокрема, у Києві та Одесі</w:t>
      </w:r>
      <w:r w:rsidR="003545ED" w:rsidRPr="00934A35">
        <w:rPr>
          <w:lang w:val="uk-UA"/>
        </w:rPr>
        <w:t>, –</w:t>
      </w:r>
      <w:r w:rsidRPr="00934A35">
        <w:rPr>
          <w:lang w:val="uk-UA"/>
        </w:rPr>
        <w:t xml:space="preserve"> як певного роду протидія Маршам Рівності. Лозунг </w:t>
      </w:r>
      <w:r w:rsidR="003545ED" w:rsidRPr="00934A35">
        <w:rPr>
          <w:lang w:val="uk-UA"/>
        </w:rPr>
        <w:t>«</w:t>
      </w:r>
      <w:r w:rsidRPr="00934A35">
        <w:rPr>
          <w:lang w:val="uk-UA"/>
        </w:rPr>
        <w:t xml:space="preserve">підтримки традиційної родини», однак, </w:t>
      </w:r>
      <w:r w:rsidR="003545ED" w:rsidRPr="00934A35">
        <w:rPr>
          <w:lang w:val="uk-UA"/>
        </w:rPr>
        <w:t xml:space="preserve">вже </w:t>
      </w:r>
      <w:r w:rsidRPr="00934A35">
        <w:rPr>
          <w:lang w:val="uk-UA"/>
        </w:rPr>
        <w:t xml:space="preserve">взятий на озброєння також і </w:t>
      </w:r>
      <w:proofErr w:type="spellStart"/>
      <w:r w:rsidR="003545ED" w:rsidRPr="00934A35">
        <w:rPr>
          <w:lang w:val="uk-UA"/>
        </w:rPr>
        <w:t>праворадикальними</w:t>
      </w:r>
      <w:proofErr w:type="spellEnd"/>
      <w:r w:rsidR="003545ED" w:rsidRPr="00934A35">
        <w:rPr>
          <w:lang w:val="uk-UA"/>
        </w:rPr>
        <w:t xml:space="preserve"> угрупуваннями: зокрема, у липні два десятки молодиків під прапорами неонацистської Соціал-національної Асамблеї України пройшли центром Миколаєва, скандуючи «Традиційна родина – велика Україна!» и «Одна раса, одна нація, одна Батьківщина – це Україна!»</w:t>
      </w:r>
    </w:p>
    <w:p w14:paraId="3F2F2AA1" w14:textId="17129554" w:rsidR="00AF1F7A" w:rsidRPr="00934A35" w:rsidRDefault="00AF1F7A" w:rsidP="00AF1F7A">
      <w:pPr>
        <w:spacing w:before="240"/>
        <w:contextualSpacing w:val="0"/>
        <w:rPr>
          <w:b/>
          <w:lang w:val="uk-UA"/>
        </w:rPr>
      </w:pPr>
      <w:r w:rsidRPr="00934A35">
        <w:rPr>
          <w:b/>
          <w:lang w:val="uk-UA"/>
        </w:rPr>
        <w:t>Ц</w:t>
      </w:r>
      <w:r w:rsidR="00361B8D" w:rsidRPr="00934A35">
        <w:rPr>
          <w:b/>
          <w:lang w:val="uk-UA"/>
        </w:rPr>
        <w:t>еркви</w:t>
      </w:r>
      <w:r w:rsidR="00985C26" w:rsidRPr="00934A35">
        <w:rPr>
          <w:b/>
          <w:lang w:val="uk-UA"/>
        </w:rPr>
        <w:t xml:space="preserve"> та релігійні орг</w:t>
      </w:r>
      <w:r w:rsidR="002E4454">
        <w:rPr>
          <w:b/>
          <w:lang w:val="uk-UA"/>
        </w:rPr>
        <w:t>анізації</w:t>
      </w:r>
    </w:p>
    <w:p w14:paraId="7B25D37A" w14:textId="4A7ECD88" w:rsidR="009C2829" w:rsidRPr="00934A35" w:rsidRDefault="009C2829" w:rsidP="00C57D38">
      <w:pPr>
        <w:contextualSpacing w:val="0"/>
        <w:rPr>
          <w:lang w:val="uk-UA"/>
        </w:rPr>
      </w:pPr>
      <w:r w:rsidRPr="00934A35">
        <w:rPr>
          <w:lang w:val="uk-UA"/>
        </w:rPr>
        <w:t xml:space="preserve">За винятком УПЦ (МП), у 2017 році центральне керівництво українських церков утримувалося від </w:t>
      </w:r>
      <w:r w:rsidR="00062D11" w:rsidRPr="00934A35">
        <w:rPr>
          <w:lang w:val="uk-UA"/>
        </w:rPr>
        <w:t xml:space="preserve">активного </w:t>
      </w:r>
      <w:r w:rsidRPr="00934A35">
        <w:rPr>
          <w:lang w:val="uk-UA"/>
        </w:rPr>
        <w:t xml:space="preserve">обговорення ЛГБТ питань, </w:t>
      </w:r>
      <w:proofErr w:type="spellStart"/>
      <w:r w:rsidRPr="00934A35">
        <w:rPr>
          <w:lang w:val="uk-UA"/>
        </w:rPr>
        <w:t>обмежуючися</w:t>
      </w:r>
      <w:proofErr w:type="spellEnd"/>
      <w:r w:rsidRPr="00934A35">
        <w:rPr>
          <w:lang w:val="uk-UA"/>
        </w:rPr>
        <w:t xml:space="preserve"> закликами до підтримки «традиційної родини» та протестами проти запровадження в українському законодавстві термінів «сексуальна орієнтація» і «</w:t>
      </w:r>
      <w:proofErr w:type="spellStart"/>
      <w:r w:rsidRPr="00934A35">
        <w:rPr>
          <w:lang w:val="uk-UA"/>
        </w:rPr>
        <w:t>ґендер</w:t>
      </w:r>
      <w:proofErr w:type="spellEnd"/>
      <w:r w:rsidRPr="00934A35">
        <w:rPr>
          <w:lang w:val="uk-UA"/>
        </w:rPr>
        <w:t xml:space="preserve">». Лише </w:t>
      </w:r>
      <w:r w:rsidR="00062D11" w:rsidRPr="00934A35">
        <w:rPr>
          <w:lang w:val="uk-UA"/>
        </w:rPr>
        <w:t xml:space="preserve">глава УПЦ Московського патріархату митрополит Онуфрій звернувся до міської влади Києва із закликом не допустити проведення Маршу Рівності у столиці; решта керівників провідних релігійних об’єднань України </w:t>
      </w:r>
      <w:r w:rsidR="00DB103A" w:rsidRPr="00934A35">
        <w:rPr>
          <w:lang w:val="uk-UA"/>
        </w:rPr>
        <w:t xml:space="preserve">у своїй протидії Маршу </w:t>
      </w:r>
      <w:r w:rsidR="00062D11" w:rsidRPr="00934A35">
        <w:rPr>
          <w:lang w:val="uk-UA"/>
        </w:rPr>
        <w:t xml:space="preserve">покладалася </w:t>
      </w:r>
      <w:r w:rsidR="00DB103A" w:rsidRPr="00934A35">
        <w:rPr>
          <w:lang w:val="uk-UA"/>
        </w:rPr>
        <w:t>радше на молитву та Божу допомогу, ніж на адміністративні важелі – як ось, наприклад, Рада євангельських протестантських церков України, що ухвалила відповідне рішення 14 червня.</w:t>
      </w:r>
    </w:p>
    <w:p w14:paraId="7D9FBDC2" w14:textId="40FEEE91" w:rsidR="00DB103A" w:rsidRPr="00934A35" w:rsidRDefault="00DB103A" w:rsidP="00C57D38">
      <w:pPr>
        <w:contextualSpacing w:val="0"/>
        <w:rPr>
          <w:lang w:val="uk-UA"/>
        </w:rPr>
      </w:pPr>
      <w:r w:rsidRPr="00934A35">
        <w:rPr>
          <w:lang w:val="uk-UA"/>
        </w:rPr>
        <w:t>Маршу Рівності в Одесі, однак, вже традиційно передувала прес-конференція місцевих священнослужителів різних конфесій, на якій вони, як завжди</w:t>
      </w:r>
      <w:r w:rsidR="000E6530" w:rsidRPr="00934A35">
        <w:rPr>
          <w:lang w:val="uk-UA"/>
        </w:rPr>
        <w:t>,</w:t>
      </w:r>
      <w:r w:rsidRPr="00934A35">
        <w:rPr>
          <w:lang w:val="uk-UA"/>
        </w:rPr>
        <w:t xml:space="preserve"> звернулися до міської влади з проханням заборонити проведення фестивалю "Одеса </w:t>
      </w:r>
      <w:proofErr w:type="spellStart"/>
      <w:r w:rsidRPr="00934A35">
        <w:rPr>
          <w:lang w:val="uk-UA"/>
        </w:rPr>
        <w:t>Прайд</w:t>
      </w:r>
      <w:proofErr w:type="spellEnd"/>
      <w:r w:rsidRPr="00934A35">
        <w:rPr>
          <w:lang w:val="uk-UA"/>
        </w:rPr>
        <w:t xml:space="preserve"> 2017", частиною якого є Марш.</w:t>
      </w:r>
      <w:r w:rsidR="000E6530" w:rsidRPr="00934A35">
        <w:rPr>
          <w:lang w:val="uk-UA"/>
        </w:rPr>
        <w:t xml:space="preserve"> У минулі роки одеська мерія завжди намагалася виконати такий наказ, але </w:t>
      </w:r>
      <w:proofErr w:type="spellStart"/>
      <w:r w:rsidR="000E6530" w:rsidRPr="00934A35">
        <w:rPr>
          <w:lang w:val="uk-UA"/>
        </w:rPr>
        <w:t>цьогоріч</w:t>
      </w:r>
      <w:proofErr w:type="spellEnd"/>
      <w:r w:rsidR="000E6530" w:rsidRPr="00934A35">
        <w:rPr>
          <w:lang w:val="uk-UA"/>
        </w:rPr>
        <w:t xml:space="preserve"> проігнорувала звернення духовенства, якому довелося </w:t>
      </w:r>
      <w:proofErr w:type="spellStart"/>
      <w:r w:rsidR="000E6530" w:rsidRPr="00934A35">
        <w:rPr>
          <w:lang w:val="uk-UA"/>
        </w:rPr>
        <w:t>задовільнитися</w:t>
      </w:r>
      <w:proofErr w:type="spellEnd"/>
      <w:r w:rsidR="000E6530" w:rsidRPr="00934A35">
        <w:rPr>
          <w:lang w:val="uk-UA"/>
        </w:rPr>
        <w:t xml:space="preserve"> лише організацією альтернативної ходи «за традиційну родину». </w:t>
      </w:r>
    </w:p>
    <w:p w14:paraId="0F12F8D6" w14:textId="111C7487" w:rsidR="000E6530" w:rsidRPr="00934A35" w:rsidRDefault="000E6530" w:rsidP="00C57D38">
      <w:pPr>
        <w:contextualSpacing w:val="0"/>
        <w:rPr>
          <w:lang w:val="uk-UA"/>
        </w:rPr>
      </w:pPr>
      <w:r w:rsidRPr="00934A35">
        <w:rPr>
          <w:lang w:val="uk-UA"/>
        </w:rPr>
        <w:t xml:space="preserve">Загальні настрої керівництва українських церков </w:t>
      </w:r>
      <w:r w:rsidR="0013543A" w:rsidRPr="00934A35">
        <w:rPr>
          <w:lang w:val="uk-UA"/>
        </w:rPr>
        <w:t xml:space="preserve">та багатьох релігійних активістів </w:t>
      </w:r>
      <w:r w:rsidRPr="00934A35">
        <w:rPr>
          <w:lang w:val="uk-UA"/>
        </w:rPr>
        <w:t>щодо поточної де</w:t>
      </w:r>
      <w:r w:rsidR="0013543A" w:rsidRPr="00934A35">
        <w:rPr>
          <w:lang w:val="uk-UA"/>
        </w:rPr>
        <w:t>р</w:t>
      </w:r>
      <w:r w:rsidRPr="00934A35">
        <w:rPr>
          <w:lang w:val="uk-UA"/>
        </w:rPr>
        <w:t>жавної політики стосовно ЛГБТ питань озвучив</w:t>
      </w:r>
      <w:r w:rsidR="0013543A" w:rsidRPr="00934A35">
        <w:rPr>
          <w:lang w:val="uk-UA"/>
        </w:rPr>
        <w:t xml:space="preserve"> у своєму </w:t>
      </w:r>
      <w:proofErr w:type="spellStart"/>
      <w:r w:rsidR="0013543A" w:rsidRPr="00934A35">
        <w:rPr>
          <w:lang w:val="uk-UA"/>
        </w:rPr>
        <w:t>Фейсбуку</w:t>
      </w:r>
      <w:proofErr w:type="spellEnd"/>
      <w:r w:rsidRPr="00934A35">
        <w:rPr>
          <w:lang w:val="uk-UA"/>
        </w:rPr>
        <w:t xml:space="preserve"> відомий </w:t>
      </w:r>
      <w:proofErr w:type="spellStart"/>
      <w:r w:rsidRPr="00934A35">
        <w:rPr>
          <w:lang w:val="uk-UA"/>
        </w:rPr>
        <w:t>релігієзнавець</w:t>
      </w:r>
      <w:proofErr w:type="spellEnd"/>
      <w:r w:rsidRPr="00934A35">
        <w:rPr>
          <w:lang w:val="uk-UA"/>
        </w:rPr>
        <w:t xml:space="preserve"> Юрій Чорноморець: «</w:t>
      </w:r>
      <w:r w:rsidR="0013543A" w:rsidRPr="00934A35">
        <w:rPr>
          <w:lang w:val="uk-UA"/>
        </w:rPr>
        <w:t xml:space="preserve">Коли ця влада була опозицією, то гарантувала </w:t>
      </w:r>
      <w:proofErr w:type="spellStart"/>
      <w:r w:rsidR="0013543A" w:rsidRPr="00934A35">
        <w:rPr>
          <w:lang w:val="uk-UA"/>
        </w:rPr>
        <w:t>ВРЦіРО</w:t>
      </w:r>
      <w:proofErr w:type="spellEnd"/>
      <w:r w:rsidR="00E113BD" w:rsidRPr="00934A35">
        <w:rPr>
          <w:rStyle w:val="af4"/>
          <w:lang w:val="uk-UA"/>
        </w:rPr>
        <w:footnoteReference w:id="1"/>
      </w:r>
      <w:r w:rsidR="0013543A" w:rsidRPr="00934A35">
        <w:rPr>
          <w:lang w:val="uk-UA"/>
        </w:rPr>
        <w:t xml:space="preserve"> (представляє 95% вірних), що у нас буде як у Польщі, як в Угорщині </w:t>
      </w:r>
      <w:r w:rsidR="00C0306A" w:rsidRPr="00934A35">
        <w:rPr>
          <w:lang w:val="uk-UA"/>
        </w:rPr>
        <w:t>–</w:t>
      </w:r>
      <w:r w:rsidR="0013543A" w:rsidRPr="00934A35">
        <w:rPr>
          <w:lang w:val="uk-UA"/>
        </w:rPr>
        <w:t xml:space="preserve"> ми будемо йти в ЄС, але при цьому будемо мати пріоритетом збереження родини, благо дітей, але не будемо приймати західну культуру повного релятивізму, із усіма її ідеологічними розширеними тлумаченнями прав людини. Так, українські церкви політики просто "кинули"</w:t>
      </w:r>
      <w:r w:rsidR="00C0306A" w:rsidRPr="00934A35">
        <w:rPr>
          <w:lang w:val="uk-UA"/>
        </w:rPr>
        <w:t>»</w:t>
      </w:r>
      <w:r w:rsidR="0013543A" w:rsidRPr="00934A35">
        <w:rPr>
          <w:lang w:val="uk-UA"/>
        </w:rPr>
        <w:t>.</w:t>
      </w:r>
    </w:p>
    <w:p w14:paraId="0F78ACE5" w14:textId="77777777" w:rsidR="00361B8D" w:rsidRPr="00934A35" w:rsidRDefault="00AF1F7A" w:rsidP="00AF1F7A">
      <w:pPr>
        <w:spacing w:before="240"/>
        <w:contextualSpacing w:val="0"/>
        <w:rPr>
          <w:b/>
          <w:lang w:val="uk-UA"/>
        </w:rPr>
      </w:pPr>
      <w:r w:rsidRPr="00934A35">
        <w:rPr>
          <w:b/>
          <w:lang w:val="uk-UA"/>
        </w:rPr>
        <w:t>Широке суспільство</w:t>
      </w:r>
    </w:p>
    <w:p w14:paraId="4F38875A" w14:textId="669AFFA6" w:rsidR="009A37A7" w:rsidRPr="00934A35" w:rsidRDefault="009A37A7" w:rsidP="00C57D38">
      <w:pPr>
        <w:contextualSpacing w:val="0"/>
        <w:rPr>
          <w:lang w:val="uk-UA"/>
        </w:rPr>
      </w:pPr>
      <w:r w:rsidRPr="00934A35">
        <w:rPr>
          <w:lang w:val="uk-UA"/>
        </w:rPr>
        <w:t xml:space="preserve">Суперечливе </w:t>
      </w:r>
      <w:r w:rsidR="00776F72" w:rsidRPr="00934A35">
        <w:rPr>
          <w:lang w:val="uk-UA"/>
        </w:rPr>
        <w:t xml:space="preserve">сучасне </w:t>
      </w:r>
      <w:r w:rsidRPr="00934A35">
        <w:rPr>
          <w:lang w:val="uk-UA"/>
        </w:rPr>
        <w:t>ставлення</w:t>
      </w:r>
      <w:r w:rsidR="00776F72" w:rsidRPr="00934A35">
        <w:rPr>
          <w:lang w:val="uk-UA"/>
        </w:rPr>
        <w:t xml:space="preserve"> українців до ЛГБТ добре ілюструють результати опитування мешканців Києва, що було проведене Центром досліджень та комунікацій «</w:t>
      </w:r>
      <w:proofErr w:type="spellStart"/>
      <w:r w:rsidR="00776F72" w:rsidRPr="00934A35">
        <w:rPr>
          <w:lang w:val="uk-UA"/>
        </w:rPr>
        <w:t>Active</w:t>
      </w:r>
      <w:proofErr w:type="spellEnd"/>
      <w:r w:rsidR="00776F72" w:rsidRPr="00934A35">
        <w:rPr>
          <w:lang w:val="uk-UA"/>
        </w:rPr>
        <w:t xml:space="preserve"> </w:t>
      </w:r>
      <w:proofErr w:type="spellStart"/>
      <w:r w:rsidR="00776F72" w:rsidRPr="00934A35">
        <w:rPr>
          <w:lang w:val="uk-UA"/>
        </w:rPr>
        <w:t>Group</w:t>
      </w:r>
      <w:proofErr w:type="spellEnd"/>
      <w:r w:rsidR="00776F72" w:rsidRPr="00934A35">
        <w:rPr>
          <w:lang w:val="uk-UA"/>
        </w:rPr>
        <w:t xml:space="preserve">» у квітні цього року: 38% респондентів були готові дозволити або радше дозволити, а 57% – бажали би заборонити або радше заборонити проведення у столиці «гей-параду»; водночас, обмеження свободи мирних зібрань в Україні підтримали лише біля 26% опитуваних. </w:t>
      </w:r>
    </w:p>
    <w:p w14:paraId="46AD686D" w14:textId="73665944" w:rsidR="009A37A7" w:rsidRPr="00934A35" w:rsidRDefault="00D10570" w:rsidP="00C57D38">
      <w:pPr>
        <w:contextualSpacing w:val="0"/>
        <w:rPr>
          <w:lang w:val="uk-UA"/>
        </w:rPr>
      </w:pPr>
      <w:r w:rsidRPr="00934A35">
        <w:rPr>
          <w:lang w:val="uk-UA"/>
        </w:rPr>
        <w:t>Моніторинг преси та соціальних мереж в Інтернеті показує, що ЛГБТ тематика в Україні поступово стає звичною частиною суспільного дискурсу</w:t>
      </w:r>
      <w:r w:rsidR="00CB048E" w:rsidRPr="00934A35">
        <w:rPr>
          <w:lang w:val="uk-UA"/>
        </w:rPr>
        <w:t xml:space="preserve">, все більше людей усвідомлюють реальну природу проблем, з якими стикаються ЛГБТ у своєму житті, та потребу їх вирішення. </w:t>
      </w:r>
      <w:r w:rsidR="00CB048E" w:rsidRPr="00934A35">
        <w:rPr>
          <w:lang w:val="uk-UA"/>
        </w:rPr>
        <w:lastRenderedPageBreak/>
        <w:t xml:space="preserve">Події навколо розфарбування київської Арки дружби народів у веселкові кольори під час Євробачення 2017 наочно продемонстрували, що ЛГБТ символіка у переважної більшості суспільно-активних українців викликає значно менше роздратування, ніж недолугі спроби боротьби з нею. </w:t>
      </w:r>
      <w:r w:rsidR="00CC72FF" w:rsidRPr="00934A35">
        <w:rPr>
          <w:lang w:val="uk-UA"/>
        </w:rPr>
        <w:t xml:space="preserve">Напередодні проведення Євробачення Центр «Наш світ» розмістив у декількох районах Києва десяток </w:t>
      </w:r>
      <w:proofErr w:type="spellStart"/>
      <w:r w:rsidR="00CC72FF" w:rsidRPr="00934A35">
        <w:rPr>
          <w:lang w:val="uk-UA"/>
        </w:rPr>
        <w:t>бігбордів</w:t>
      </w:r>
      <w:proofErr w:type="spellEnd"/>
      <w:r w:rsidR="00CC72FF" w:rsidRPr="00934A35">
        <w:rPr>
          <w:lang w:val="uk-UA"/>
        </w:rPr>
        <w:t xml:space="preserve"> на підтримку запровадження одностатевого партнерства в Україні. На нашу думку, дуже показовим є те, що за місяць, який ці великі та помітні плакати </w:t>
      </w:r>
      <w:proofErr w:type="spellStart"/>
      <w:r w:rsidR="00CC72FF" w:rsidRPr="00934A35">
        <w:rPr>
          <w:lang w:val="uk-UA"/>
        </w:rPr>
        <w:t>провисіли</w:t>
      </w:r>
      <w:proofErr w:type="spellEnd"/>
      <w:r w:rsidR="00CC72FF" w:rsidRPr="00934A35">
        <w:rPr>
          <w:lang w:val="uk-UA"/>
        </w:rPr>
        <w:t xml:space="preserve"> без будь-якої охорони</w:t>
      </w:r>
      <w:r w:rsidR="008A2597" w:rsidRPr="00934A35">
        <w:rPr>
          <w:lang w:val="uk-UA"/>
        </w:rPr>
        <w:t xml:space="preserve"> над досить людними автотрасами</w:t>
      </w:r>
      <w:r w:rsidR="00CC72FF" w:rsidRPr="00934A35">
        <w:rPr>
          <w:lang w:val="uk-UA"/>
        </w:rPr>
        <w:t>, лише один з них був пошкоджений, а до київської влади не надходило будь-яких скарг з приводу їх розміщення. Вочевидь, ЛГБТ питання не викликають будь-яких сильних почуттів у переважної більшості українського суспільства.</w:t>
      </w:r>
    </w:p>
    <w:p w14:paraId="046C34EB" w14:textId="77777777" w:rsidR="00AF1F7A" w:rsidRPr="00934A35" w:rsidRDefault="00361B8D" w:rsidP="00AF1F7A">
      <w:pPr>
        <w:spacing w:before="240"/>
        <w:contextualSpacing w:val="0"/>
        <w:rPr>
          <w:b/>
          <w:lang w:val="uk-UA"/>
        </w:rPr>
      </w:pPr>
      <w:r w:rsidRPr="00934A35">
        <w:rPr>
          <w:b/>
          <w:lang w:val="uk-UA"/>
        </w:rPr>
        <w:t>ЛГБТ спільнота</w:t>
      </w:r>
    </w:p>
    <w:p w14:paraId="0B50AC7E" w14:textId="454CC5D7" w:rsidR="00206D50" w:rsidRPr="00934A35" w:rsidRDefault="00206D50" w:rsidP="00C57D38">
      <w:pPr>
        <w:contextualSpacing w:val="0"/>
        <w:rPr>
          <w:lang w:val="uk-UA"/>
        </w:rPr>
      </w:pPr>
      <w:r w:rsidRPr="00934A35">
        <w:rPr>
          <w:lang w:val="uk-UA"/>
        </w:rPr>
        <w:t xml:space="preserve">У цьому році продовжилася тенденція швидкого підвищення активності та видимості української ЛГБТ спільноти, яка стала очевидною </w:t>
      </w:r>
      <w:r w:rsidR="00B12622" w:rsidRPr="00934A35">
        <w:rPr>
          <w:lang w:val="uk-UA"/>
        </w:rPr>
        <w:t xml:space="preserve">вже у </w:t>
      </w:r>
      <w:r w:rsidRPr="00934A35">
        <w:rPr>
          <w:lang w:val="uk-UA"/>
        </w:rPr>
        <w:t>минуло</w:t>
      </w:r>
      <w:r w:rsidR="00B12622" w:rsidRPr="00934A35">
        <w:rPr>
          <w:lang w:val="uk-UA"/>
        </w:rPr>
        <w:t>му</w:t>
      </w:r>
      <w:r w:rsidRPr="00934A35">
        <w:rPr>
          <w:lang w:val="uk-UA"/>
        </w:rPr>
        <w:t xml:space="preserve"> ро</w:t>
      </w:r>
      <w:r w:rsidR="00B12622" w:rsidRPr="00934A35">
        <w:rPr>
          <w:lang w:val="uk-UA"/>
        </w:rPr>
        <w:t>ці</w:t>
      </w:r>
      <w:r w:rsidRPr="00934A35">
        <w:rPr>
          <w:lang w:val="uk-UA"/>
        </w:rPr>
        <w:t xml:space="preserve">. Після </w:t>
      </w:r>
      <w:r w:rsidR="00B12622" w:rsidRPr="00934A35">
        <w:rPr>
          <w:lang w:val="uk-UA"/>
        </w:rPr>
        <w:t xml:space="preserve">дуже </w:t>
      </w:r>
      <w:r w:rsidRPr="00934A35">
        <w:rPr>
          <w:lang w:val="uk-UA"/>
        </w:rPr>
        <w:t>успішн</w:t>
      </w:r>
      <w:r w:rsidR="00B12622" w:rsidRPr="00934A35">
        <w:rPr>
          <w:lang w:val="uk-UA"/>
        </w:rPr>
        <w:t>ого</w:t>
      </w:r>
      <w:r w:rsidRPr="00934A35">
        <w:rPr>
          <w:lang w:val="uk-UA"/>
        </w:rPr>
        <w:t xml:space="preserve"> попереднього Маршу Рівності у Києві, кількість учасників цьогорічного маршу виросла вдвічі – до 2,5-4 тисяч осіб, за різними підрахунками; аналогічно, одеський Марш Рівності у цьому році </w:t>
      </w:r>
      <w:r w:rsidR="006B4C9D" w:rsidRPr="00934A35">
        <w:rPr>
          <w:lang w:val="uk-UA"/>
        </w:rPr>
        <w:t xml:space="preserve">також </w:t>
      </w:r>
      <w:r w:rsidRPr="00934A35">
        <w:rPr>
          <w:lang w:val="uk-UA"/>
        </w:rPr>
        <w:t>налічував приблизно вдвічі більше учасників (близько 100), ніж у минулому (50-70).</w:t>
      </w:r>
      <w:r w:rsidR="00B12622" w:rsidRPr="00934A35">
        <w:rPr>
          <w:lang w:val="uk-UA"/>
        </w:rPr>
        <w:t xml:space="preserve"> Центр «Наш світ» та інші активні ЛГБТ організації стикаються з великою кількістю прохань та пропозицій з боку ЛГБТ спільноти по всій Україні щодо участі в їхній діяльності; головною перешкодою для розширення ЛГБТ </w:t>
      </w:r>
      <w:proofErr w:type="spellStart"/>
      <w:r w:rsidR="00B12622" w:rsidRPr="00934A35">
        <w:rPr>
          <w:lang w:val="uk-UA"/>
        </w:rPr>
        <w:t>активізму</w:t>
      </w:r>
      <w:proofErr w:type="spellEnd"/>
      <w:r w:rsidR="00B12622" w:rsidRPr="00934A35">
        <w:rPr>
          <w:lang w:val="uk-UA"/>
        </w:rPr>
        <w:t xml:space="preserve"> є лише брак коштів на утримання потрібної інфраструктури та постійного оплачуваного персоналу.</w:t>
      </w:r>
    </w:p>
    <w:p w14:paraId="26EA84D3" w14:textId="3399F1EA" w:rsidR="00B12622" w:rsidRPr="00934A35" w:rsidRDefault="00B12622" w:rsidP="00C57D38">
      <w:pPr>
        <w:contextualSpacing w:val="0"/>
        <w:rPr>
          <w:lang w:val="uk-UA"/>
        </w:rPr>
      </w:pPr>
      <w:r w:rsidRPr="00934A35">
        <w:rPr>
          <w:lang w:val="uk-UA"/>
        </w:rPr>
        <w:t xml:space="preserve">Суттєвою проблемою, проте, лишається високий рівень агресії з боку </w:t>
      </w:r>
      <w:proofErr w:type="spellStart"/>
      <w:r w:rsidRPr="00934A35">
        <w:rPr>
          <w:lang w:val="uk-UA"/>
        </w:rPr>
        <w:t>праворадикальних</w:t>
      </w:r>
      <w:proofErr w:type="spellEnd"/>
      <w:r w:rsidRPr="00934A35">
        <w:rPr>
          <w:lang w:val="uk-UA"/>
        </w:rPr>
        <w:t xml:space="preserve"> націоналістичних угрупувань, які, як вже було відзначено вище, останніми роками перейшли до тактики постійного залякування та перешкоджання діяльності ЛГБТ організацій та окремих активістів. Всі помітні публічні</w:t>
      </w:r>
      <w:r w:rsidR="007511A5" w:rsidRPr="00934A35">
        <w:rPr>
          <w:lang w:val="uk-UA"/>
        </w:rPr>
        <w:t xml:space="preserve"> акції, а також багато закритих</w:t>
      </w:r>
      <w:r w:rsidRPr="00934A35">
        <w:rPr>
          <w:lang w:val="uk-UA"/>
        </w:rPr>
        <w:t xml:space="preserve"> ЛГБТ </w:t>
      </w:r>
      <w:r w:rsidR="007511A5" w:rsidRPr="00934A35">
        <w:rPr>
          <w:lang w:val="uk-UA"/>
        </w:rPr>
        <w:t xml:space="preserve">заходів </w:t>
      </w:r>
      <w:r w:rsidRPr="00934A35">
        <w:rPr>
          <w:lang w:val="uk-UA"/>
        </w:rPr>
        <w:t xml:space="preserve">у 2017 році супроводжувалися </w:t>
      </w:r>
      <w:r w:rsidR="007511A5" w:rsidRPr="00934A35">
        <w:rPr>
          <w:lang w:val="uk-UA"/>
        </w:rPr>
        <w:t xml:space="preserve">погрозами та </w:t>
      </w:r>
      <w:r w:rsidRPr="00934A35">
        <w:rPr>
          <w:lang w:val="uk-UA"/>
        </w:rPr>
        <w:t xml:space="preserve">нападами </w:t>
      </w:r>
      <w:r w:rsidR="007511A5" w:rsidRPr="00934A35">
        <w:rPr>
          <w:lang w:val="uk-UA"/>
        </w:rPr>
        <w:t>з боку такого роду груп, а поліція</w:t>
      </w:r>
      <w:r w:rsidR="00161437" w:rsidRPr="00934A35">
        <w:rPr>
          <w:lang w:val="en-US"/>
        </w:rPr>
        <w:t xml:space="preserve"> </w:t>
      </w:r>
      <w:r w:rsidR="007511A5" w:rsidRPr="00934A35">
        <w:rPr>
          <w:lang w:val="uk-UA"/>
        </w:rPr>
        <w:t>у таких випадках далеко не завжди реагувала сп</w:t>
      </w:r>
      <w:r w:rsidR="002E4454">
        <w:rPr>
          <w:lang w:val="uk-UA"/>
        </w:rPr>
        <w:t xml:space="preserve">ритно, адекватно та </w:t>
      </w:r>
      <w:proofErr w:type="spellStart"/>
      <w:r w:rsidR="002E4454">
        <w:rPr>
          <w:lang w:val="uk-UA"/>
        </w:rPr>
        <w:t>професійно</w:t>
      </w:r>
      <w:proofErr w:type="spellEnd"/>
      <w:r w:rsidR="002E4454">
        <w:rPr>
          <w:lang w:val="uk-UA"/>
        </w:rPr>
        <w:t>.</w:t>
      </w:r>
    </w:p>
    <w:p w14:paraId="4386D9DB" w14:textId="3C64C72B" w:rsidR="000F0B1F" w:rsidRPr="00934A35" w:rsidRDefault="000F0B1F" w:rsidP="00C57D38">
      <w:pPr>
        <w:contextualSpacing w:val="0"/>
        <w:rPr>
          <w:lang w:val="uk-UA"/>
        </w:rPr>
      </w:pPr>
      <w:r w:rsidRPr="00934A35">
        <w:rPr>
          <w:lang w:val="uk-UA"/>
        </w:rPr>
        <w:t xml:space="preserve">Київський Марш Рівності виявив нову проблему, яка, вочевидь, віддзеркалює процес зростання та ускладнення українського ЛГБТ руху: початок політико-ідеологічного розмежування всередині нього. Якщо переважна більшість учасників маршу йшла під ліберально-демократичними та патріотичними гаслами, невелика кількість демонстрантів маршувала під </w:t>
      </w:r>
      <w:r w:rsidR="00AE03DC" w:rsidRPr="00934A35">
        <w:rPr>
          <w:lang w:val="uk-UA"/>
        </w:rPr>
        <w:t xml:space="preserve">лозунгами, характерними радше для лівих радикалів та анархістів. </w:t>
      </w:r>
      <w:r w:rsidRPr="00934A35">
        <w:rPr>
          <w:lang w:val="uk-UA"/>
        </w:rPr>
        <w:t>Будучи інтегральною частиною українського суспільства, вітчизняна ЛГБТ спільнота почала демонструвати різноманітність ідеологічних уподобань та підходів до вирішення своїх проблем, що, в цілому, відповідає тим процесам, які відбуваються зараз у нашій країні.</w:t>
      </w:r>
    </w:p>
    <w:p w14:paraId="3D150A40" w14:textId="77777777" w:rsidR="007F0F66" w:rsidRPr="00934A35" w:rsidRDefault="007F0F66" w:rsidP="006841AC">
      <w:pPr>
        <w:spacing w:after="0"/>
        <w:contextualSpacing w:val="0"/>
        <w:rPr>
          <w:lang w:val="uk-UA"/>
        </w:rPr>
      </w:pPr>
    </w:p>
    <w:p w14:paraId="7AA572DA" w14:textId="77777777" w:rsidR="00E416CF" w:rsidRPr="00934A35" w:rsidRDefault="00E416CF" w:rsidP="00E416CF">
      <w:pPr>
        <w:spacing w:before="240"/>
        <w:contextualSpacing w:val="0"/>
        <w:rPr>
          <w:b/>
          <w:lang w:val="uk-UA"/>
        </w:rPr>
      </w:pPr>
      <w:r w:rsidRPr="00934A35">
        <w:rPr>
          <w:b/>
          <w:lang w:val="uk-UA"/>
        </w:rPr>
        <w:t>2. Насильство, дискримінація та інші порушення прав ЛГБТ</w:t>
      </w:r>
      <w:r w:rsidRPr="00934A35">
        <w:rPr>
          <w:vertAlign w:val="superscript"/>
        </w:rPr>
        <w:footnoteReference w:id="2"/>
      </w:r>
    </w:p>
    <w:p w14:paraId="41313B49" w14:textId="76802DD3" w:rsidR="00E416CF" w:rsidRPr="00934A35" w:rsidRDefault="00E416CF" w:rsidP="00E416CF">
      <w:pPr>
        <w:contextualSpacing w:val="0"/>
        <w:rPr>
          <w:lang w:val="uk-UA"/>
        </w:rPr>
      </w:pPr>
      <w:r w:rsidRPr="00934A35">
        <w:rPr>
          <w:lang w:val="uk-UA"/>
        </w:rPr>
        <w:t xml:space="preserve">Із січня по липень 2017 року </w:t>
      </w:r>
      <w:r w:rsidR="00934A35">
        <w:rPr>
          <w:lang w:val="uk-UA"/>
        </w:rPr>
        <w:t xml:space="preserve">Центром «Наш світ» </w:t>
      </w:r>
      <w:r w:rsidRPr="00934A35">
        <w:rPr>
          <w:lang w:val="uk-UA"/>
        </w:rPr>
        <w:t xml:space="preserve">було задокументовано 117 випадків інцидентів і злочинів на ґрунті </w:t>
      </w:r>
      <w:proofErr w:type="spellStart"/>
      <w:r w:rsidRPr="00934A35">
        <w:rPr>
          <w:lang w:val="uk-UA"/>
        </w:rPr>
        <w:t>гомофобії</w:t>
      </w:r>
      <w:proofErr w:type="spellEnd"/>
      <w:r w:rsidRPr="00934A35">
        <w:rPr>
          <w:lang w:val="uk-UA"/>
        </w:rPr>
        <w:t xml:space="preserve"> та </w:t>
      </w:r>
      <w:proofErr w:type="spellStart"/>
      <w:r w:rsidRPr="00934A35">
        <w:rPr>
          <w:lang w:val="uk-UA"/>
        </w:rPr>
        <w:t>трансфобії</w:t>
      </w:r>
      <w:proofErr w:type="spellEnd"/>
      <w:r w:rsidRPr="00934A35">
        <w:rPr>
          <w:lang w:val="uk-UA"/>
        </w:rPr>
        <w:t>, дискримінації та інших порушень прав ЛГБТ.</w:t>
      </w:r>
    </w:p>
    <w:p w14:paraId="18BC2F65" w14:textId="3B272E10" w:rsidR="00E416CF" w:rsidRPr="00934A35" w:rsidRDefault="00E416CF" w:rsidP="002E4454">
      <w:pPr>
        <w:spacing w:after="240"/>
        <w:contextualSpacing w:val="0"/>
        <w:rPr>
          <w:lang w:val="uk-UA"/>
        </w:rPr>
      </w:pPr>
      <w:r w:rsidRPr="00934A35">
        <w:rPr>
          <w:lang w:val="uk-UA"/>
        </w:rPr>
        <w:t>Розподіл задокументованих кейсів по регіонах був таким (див. таблицю 1):</w:t>
      </w:r>
    </w:p>
    <w:p w14:paraId="05057EA7" w14:textId="77777777" w:rsidR="00E416CF" w:rsidRPr="00934A35" w:rsidRDefault="00E416CF" w:rsidP="00E416CF">
      <w:pPr>
        <w:spacing w:after="0"/>
        <w:rPr>
          <w:i/>
          <w:lang w:val="uk-UA"/>
        </w:rPr>
      </w:pPr>
      <w:r w:rsidRPr="00934A35">
        <w:rPr>
          <w:i/>
          <w:lang w:val="uk-UA"/>
        </w:rPr>
        <w:t>Таблиця 1</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6"/>
        <w:gridCol w:w="1701"/>
      </w:tblGrid>
      <w:tr w:rsidR="00934A35" w:rsidRPr="00934A35" w14:paraId="3923DC9F" w14:textId="77777777" w:rsidTr="002E4454">
        <w:trPr>
          <w:trHeight w:val="300"/>
        </w:trPr>
        <w:tc>
          <w:tcPr>
            <w:tcW w:w="7386" w:type="dxa"/>
            <w:tcBorders>
              <w:top w:val="single" w:sz="4" w:space="0" w:color="auto"/>
              <w:left w:val="single" w:sz="4" w:space="0" w:color="auto"/>
              <w:bottom w:val="single" w:sz="4" w:space="0" w:color="auto"/>
              <w:right w:val="single" w:sz="4" w:space="0" w:color="auto"/>
            </w:tcBorders>
            <w:noWrap/>
            <w:vAlign w:val="bottom"/>
            <w:hideMark/>
          </w:tcPr>
          <w:p w14:paraId="3ED88F6E" w14:textId="65910BC9" w:rsidR="00E416CF" w:rsidRPr="00934A35" w:rsidRDefault="00E416CF">
            <w:pPr>
              <w:spacing w:after="0" w:line="256" w:lineRule="auto"/>
              <w:jc w:val="left"/>
              <w:rPr>
                <w:rFonts w:ascii="Calibri" w:eastAsia="Times New Roman" w:hAnsi="Calibri" w:cs="Times New Roman"/>
                <w:lang w:val="uk-UA" w:eastAsia="ru-RU"/>
              </w:rPr>
            </w:pPr>
            <w:bookmarkStart w:id="0" w:name="RANGE!A1:B21"/>
            <w:r w:rsidRPr="00934A35">
              <w:rPr>
                <w:rFonts w:ascii="Calibri" w:eastAsia="Times New Roman" w:hAnsi="Calibri" w:cs="Times New Roman"/>
                <w:lang w:val="uk-UA" w:eastAsia="ru-RU"/>
              </w:rPr>
              <w:t xml:space="preserve">Київ і </w:t>
            </w:r>
            <w:bookmarkEnd w:id="0"/>
            <w:r w:rsidRPr="00934A35">
              <w:rPr>
                <w:rFonts w:ascii="Calibri" w:eastAsia="Times New Roman" w:hAnsi="Calibri" w:cs="Times New Roman"/>
                <w:lang w:val="uk-UA" w:eastAsia="ru-RU"/>
              </w:rPr>
              <w:t>область</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50342BC" w14:textId="77777777" w:rsidR="00E416CF" w:rsidRPr="00934A35" w:rsidRDefault="00E416CF" w:rsidP="00E416CF">
            <w:pPr>
              <w:spacing w:after="0" w:line="256" w:lineRule="auto"/>
              <w:jc w:val="center"/>
              <w:rPr>
                <w:rFonts w:ascii="Calibri" w:eastAsia="Times New Roman" w:hAnsi="Calibri" w:cs="Times New Roman"/>
                <w:lang w:val="uk-UA" w:eastAsia="ru-RU"/>
              </w:rPr>
            </w:pPr>
            <w:r w:rsidRPr="00934A35">
              <w:rPr>
                <w:rFonts w:ascii="Calibri" w:eastAsia="Times New Roman" w:hAnsi="Calibri" w:cs="Times New Roman"/>
                <w:lang w:val="uk-UA" w:eastAsia="ru-RU"/>
              </w:rPr>
              <w:t>31</w:t>
            </w:r>
          </w:p>
        </w:tc>
      </w:tr>
      <w:tr w:rsidR="00934A35" w:rsidRPr="00934A35" w14:paraId="3989142C" w14:textId="77777777" w:rsidTr="002E4454">
        <w:trPr>
          <w:trHeight w:val="300"/>
        </w:trPr>
        <w:tc>
          <w:tcPr>
            <w:tcW w:w="7386" w:type="dxa"/>
            <w:tcBorders>
              <w:top w:val="single" w:sz="4" w:space="0" w:color="auto"/>
              <w:left w:val="single" w:sz="4" w:space="0" w:color="auto"/>
              <w:bottom w:val="single" w:sz="4" w:space="0" w:color="auto"/>
              <w:right w:val="single" w:sz="4" w:space="0" w:color="auto"/>
            </w:tcBorders>
            <w:noWrap/>
            <w:vAlign w:val="bottom"/>
            <w:hideMark/>
          </w:tcPr>
          <w:p w14:paraId="2FD38DB0" w14:textId="77777777" w:rsidR="00E416CF" w:rsidRPr="00934A35" w:rsidRDefault="00E416CF">
            <w:pPr>
              <w:spacing w:after="0" w:line="256" w:lineRule="auto"/>
              <w:jc w:val="left"/>
              <w:rPr>
                <w:rFonts w:ascii="Calibri" w:eastAsia="Times New Roman" w:hAnsi="Calibri" w:cs="Times New Roman"/>
                <w:lang w:val="uk-UA" w:eastAsia="ru-RU"/>
              </w:rPr>
            </w:pPr>
            <w:r w:rsidRPr="00934A35">
              <w:rPr>
                <w:rFonts w:ascii="Calibri" w:eastAsia="Times New Roman" w:hAnsi="Calibri" w:cs="Times New Roman"/>
                <w:lang w:val="uk-UA" w:eastAsia="ru-RU"/>
              </w:rPr>
              <w:t>Харків</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1EF6F2E" w14:textId="77777777" w:rsidR="00E416CF" w:rsidRPr="00934A35" w:rsidRDefault="00E416CF" w:rsidP="00E416CF">
            <w:pPr>
              <w:spacing w:after="0" w:line="256" w:lineRule="auto"/>
              <w:jc w:val="center"/>
              <w:rPr>
                <w:rFonts w:ascii="Calibri" w:eastAsia="Times New Roman" w:hAnsi="Calibri" w:cs="Times New Roman"/>
                <w:lang w:val="uk-UA" w:eastAsia="ru-RU"/>
              </w:rPr>
            </w:pPr>
            <w:r w:rsidRPr="00934A35">
              <w:rPr>
                <w:rFonts w:ascii="Calibri" w:eastAsia="Times New Roman" w:hAnsi="Calibri" w:cs="Times New Roman"/>
                <w:lang w:val="uk-UA" w:eastAsia="ru-RU"/>
              </w:rPr>
              <w:t>19</w:t>
            </w:r>
          </w:p>
        </w:tc>
      </w:tr>
      <w:tr w:rsidR="00934A35" w:rsidRPr="00934A35" w14:paraId="1236B274" w14:textId="77777777" w:rsidTr="002E4454">
        <w:trPr>
          <w:trHeight w:val="300"/>
        </w:trPr>
        <w:tc>
          <w:tcPr>
            <w:tcW w:w="7386" w:type="dxa"/>
            <w:tcBorders>
              <w:top w:val="single" w:sz="4" w:space="0" w:color="auto"/>
              <w:left w:val="single" w:sz="4" w:space="0" w:color="auto"/>
              <w:bottom w:val="single" w:sz="4" w:space="0" w:color="auto"/>
              <w:right w:val="single" w:sz="4" w:space="0" w:color="auto"/>
            </w:tcBorders>
            <w:noWrap/>
            <w:vAlign w:val="bottom"/>
            <w:hideMark/>
          </w:tcPr>
          <w:p w14:paraId="5AD7BB5E" w14:textId="68FE4684" w:rsidR="00E416CF" w:rsidRPr="00934A35" w:rsidRDefault="00E416CF">
            <w:pPr>
              <w:spacing w:after="0" w:line="256" w:lineRule="auto"/>
              <w:jc w:val="left"/>
              <w:rPr>
                <w:rFonts w:ascii="Calibri" w:eastAsia="Times New Roman" w:hAnsi="Calibri" w:cs="Times New Roman"/>
                <w:lang w:val="uk-UA" w:eastAsia="ru-RU"/>
              </w:rPr>
            </w:pPr>
            <w:r w:rsidRPr="00934A35">
              <w:rPr>
                <w:rFonts w:ascii="Calibri" w:eastAsia="Times New Roman" w:hAnsi="Calibri" w:cs="Times New Roman"/>
                <w:lang w:val="uk-UA" w:eastAsia="ru-RU"/>
              </w:rPr>
              <w:t>Дніпро і область</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13BE7C2" w14:textId="77777777" w:rsidR="00E416CF" w:rsidRPr="00934A35" w:rsidRDefault="00E416CF" w:rsidP="00E416CF">
            <w:pPr>
              <w:spacing w:after="0" w:line="256" w:lineRule="auto"/>
              <w:jc w:val="center"/>
              <w:rPr>
                <w:rFonts w:ascii="Calibri" w:eastAsia="Times New Roman" w:hAnsi="Calibri" w:cs="Times New Roman"/>
                <w:lang w:val="uk-UA" w:eastAsia="ru-RU"/>
              </w:rPr>
            </w:pPr>
            <w:r w:rsidRPr="00934A35">
              <w:rPr>
                <w:rFonts w:ascii="Calibri" w:eastAsia="Times New Roman" w:hAnsi="Calibri" w:cs="Times New Roman"/>
                <w:lang w:val="uk-UA" w:eastAsia="ru-RU"/>
              </w:rPr>
              <w:t>13</w:t>
            </w:r>
          </w:p>
        </w:tc>
      </w:tr>
      <w:tr w:rsidR="00934A35" w:rsidRPr="00934A35" w14:paraId="768F946B" w14:textId="77777777" w:rsidTr="002E4454">
        <w:trPr>
          <w:trHeight w:val="300"/>
        </w:trPr>
        <w:tc>
          <w:tcPr>
            <w:tcW w:w="7386" w:type="dxa"/>
            <w:tcBorders>
              <w:top w:val="single" w:sz="4" w:space="0" w:color="auto"/>
              <w:left w:val="single" w:sz="4" w:space="0" w:color="auto"/>
              <w:bottom w:val="single" w:sz="4" w:space="0" w:color="auto"/>
              <w:right w:val="single" w:sz="4" w:space="0" w:color="auto"/>
            </w:tcBorders>
            <w:noWrap/>
            <w:vAlign w:val="bottom"/>
            <w:hideMark/>
          </w:tcPr>
          <w:p w14:paraId="5768CFBA" w14:textId="33B1543A" w:rsidR="00E416CF" w:rsidRPr="00934A35" w:rsidRDefault="00E416CF">
            <w:pPr>
              <w:spacing w:after="0" w:line="256" w:lineRule="auto"/>
              <w:jc w:val="left"/>
              <w:rPr>
                <w:rFonts w:ascii="Calibri" w:eastAsia="Times New Roman" w:hAnsi="Calibri" w:cs="Times New Roman"/>
                <w:lang w:val="uk-UA" w:eastAsia="ru-RU"/>
              </w:rPr>
            </w:pPr>
            <w:r w:rsidRPr="00934A35">
              <w:rPr>
                <w:rFonts w:ascii="Calibri" w:eastAsia="Times New Roman" w:hAnsi="Calibri" w:cs="Times New Roman"/>
                <w:lang w:val="uk-UA" w:eastAsia="ru-RU"/>
              </w:rPr>
              <w:t>Запоріжжя і область</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AF5E643" w14:textId="77777777" w:rsidR="00E416CF" w:rsidRPr="00934A35" w:rsidRDefault="00E416CF" w:rsidP="00E416CF">
            <w:pPr>
              <w:spacing w:after="0" w:line="256" w:lineRule="auto"/>
              <w:jc w:val="center"/>
              <w:rPr>
                <w:rFonts w:ascii="Calibri" w:eastAsia="Times New Roman" w:hAnsi="Calibri" w:cs="Times New Roman"/>
                <w:lang w:val="uk-UA" w:eastAsia="ru-RU"/>
              </w:rPr>
            </w:pPr>
            <w:r w:rsidRPr="00934A35">
              <w:rPr>
                <w:rFonts w:ascii="Calibri" w:eastAsia="Times New Roman" w:hAnsi="Calibri" w:cs="Times New Roman"/>
                <w:lang w:val="uk-UA" w:eastAsia="ru-RU"/>
              </w:rPr>
              <w:t>9</w:t>
            </w:r>
          </w:p>
        </w:tc>
      </w:tr>
      <w:tr w:rsidR="00934A35" w:rsidRPr="00934A35" w14:paraId="5F56731B" w14:textId="77777777" w:rsidTr="002E4454">
        <w:trPr>
          <w:trHeight w:val="300"/>
        </w:trPr>
        <w:tc>
          <w:tcPr>
            <w:tcW w:w="7386" w:type="dxa"/>
            <w:tcBorders>
              <w:top w:val="single" w:sz="4" w:space="0" w:color="auto"/>
              <w:left w:val="single" w:sz="4" w:space="0" w:color="auto"/>
              <w:bottom w:val="single" w:sz="4" w:space="0" w:color="auto"/>
              <w:right w:val="single" w:sz="4" w:space="0" w:color="auto"/>
            </w:tcBorders>
            <w:noWrap/>
            <w:vAlign w:val="bottom"/>
            <w:hideMark/>
          </w:tcPr>
          <w:p w14:paraId="7D3DC547" w14:textId="77777777" w:rsidR="00E416CF" w:rsidRPr="00934A35" w:rsidRDefault="00E416CF">
            <w:pPr>
              <w:spacing w:after="0" w:line="256" w:lineRule="auto"/>
              <w:jc w:val="left"/>
              <w:rPr>
                <w:rFonts w:ascii="Calibri" w:eastAsia="Times New Roman" w:hAnsi="Calibri" w:cs="Times New Roman"/>
                <w:lang w:val="uk-UA" w:eastAsia="ru-RU"/>
              </w:rPr>
            </w:pPr>
            <w:r w:rsidRPr="00934A35">
              <w:rPr>
                <w:rFonts w:ascii="Calibri" w:eastAsia="Times New Roman" w:hAnsi="Calibri" w:cs="Times New Roman"/>
                <w:lang w:val="uk-UA" w:eastAsia="ru-RU"/>
              </w:rPr>
              <w:lastRenderedPageBreak/>
              <w:t>Одеса</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5C63119" w14:textId="77777777" w:rsidR="00E416CF" w:rsidRPr="00934A35" w:rsidRDefault="00E416CF" w:rsidP="00E416CF">
            <w:pPr>
              <w:spacing w:after="0" w:line="256" w:lineRule="auto"/>
              <w:jc w:val="center"/>
              <w:rPr>
                <w:rFonts w:ascii="Calibri" w:eastAsia="Times New Roman" w:hAnsi="Calibri" w:cs="Times New Roman"/>
                <w:lang w:val="uk-UA" w:eastAsia="ru-RU"/>
              </w:rPr>
            </w:pPr>
            <w:r w:rsidRPr="00934A35">
              <w:rPr>
                <w:rFonts w:ascii="Calibri" w:eastAsia="Times New Roman" w:hAnsi="Calibri" w:cs="Times New Roman"/>
                <w:lang w:val="uk-UA" w:eastAsia="ru-RU"/>
              </w:rPr>
              <w:t>8</w:t>
            </w:r>
          </w:p>
        </w:tc>
      </w:tr>
      <w:tr w:rsidR="00934A35" w:rsidRPr="00934A35" w14:paraId="0878BCE6" w14:textId="77777777" w:rsidTr="002E4454">
        <w:trPr>
          <w:trHeight w:val="300"/>
        </w:trPr>
        <w:tc>
          <w:tcPr>
            <w:tcW w:w="7386" w:type="dxa"/>
            <w:tcBorders>
              <w:top w:val="single" w:sz="4" w:space="0" w:color="auto"/>
              <w:left w:val="single" w:sz="4" w:space="0" w:color="auto"/>
              <w:bottom w:val="single" w:sz="4" w:space="0" w:color="auto"/>
              <w:right w:val="single" w:sz="4" w:space="0" w:color="auto"/>
            </w:tcBorders>
            <w:noWrap/>
            <w:vAlign w:val="bottom"/>
            <w:hideMark/>
          </w:tcPr>
          <w:p w14:paraId="128AC9A6" w14:textId="4F456EC4" w:rsidR="00E416CF" w:rsidRPr="00934A35" w:rsidRDefault="00E416CF">
            <w:pPr>
              <w:spacing w:after="0" w:line="256" w:lineRule="auto"/>
              <w:jc w:val="left"/>
              <w:rPr>
                <w:rFonts w:ascii="Calibri" w:eastAsia="Times New Roman" w:hAnsi="Calibri" w:cs="Times New Roman"/>
                <w:lang w:val="uk-UA" w:eastAsia="ru-RU"/>
              </w:rPr>
            </w:pPr>
            <w:r w:rsidRPr="00934A35">
              <w:rPr>
                <w:rFonts w:ascii="Calibri" w:eastAsia="Times New Roman" w:hAnsi="Calibri" w:cs="Times New Roman"/>
                <w:lang w:val="uk-UA" w:eastAsia="ru-RU"/>
              </w:rPr>
              <w:t>Львів і область</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1669BED" w14:textId="77777777" w:rsidR="00E416CF" w:rsidRPr="00934A35" w:rsidRDefault="00E416CF" w:rsidP="00E416CF">
            <w:pPr>
              <w:spacing w:after="0" w:line="256" w:lineRule="auto"/>
              <w:jc w:val="center"/>
              <w:rPr>
                <w:rFonts w:ascii="Calibri" w:eastAsia="Times New Roman" w:hAnsi="Calibri" w:cs="Times New Roman"/>
                <w:lang w:val="uk-UA" w:eastAsia="ru-RU"/>
              </w:rPr>
            </w:pPr>
            <w:r w:rsidRPr="00934A35">
              <w:rPr>
                <w:rFonts w:ascii="Calibri" w:eastAsia="Times New Roman" w:hAnsi="Calibri" w:cs="Times New Roman"/>
                <w:lang w:val="uk-UA" w:eastAsia="ru-RU"/>
              </w:rPr>
              <w:t>6</w:t>
            </w:r>
          </w:p>
        </w:tc>
      </w:tr>
      <w:tr w:rsidR="00934A35" w:rsidRPr="00934A35" w14:paraId="4FF2D77A" w14:textId="77777777" w:rsidTr="002E4454">
        <w:trPr>
          <w:trHeight w:val="300"/>
        </w:trPr>
        <w:tc>
          <w:tcPr>
            <w:tcW w:w="7386" w:type="dxa"/>
            <w:tcBorders>
              <w:top w:val="single" w:sz="4" w:space="0" w:color="auto"/>
              <w:left w:val="single" w:sz="4" w:space="0" w:color="auto"/>
              <w:bottom w:val="single" w:sz="4" w:space="0" w:color="auto"/>
              <w:right w:val="single" w:sz="4" w:space="0" w:color="auto"/>
            </w:tcBorders>
            <w:noWrap/>
            <w:vAlign w:val="bottom"/>
            <w:hideMark/>
          </w:tcPr>
          <w:p w14:paraId="1AF38951" w14:textId="5326A18B" w:rsidR="00E416CF" w:rsidRPr="00934A35" w:rsidRDefault="00E416CF">
            <w:pPr>
              <w:spacing w:after="0" w:line="256" w:lineRule="auto"/>
              <w:jc w:val="left"/>
              <w:rPr>
                <w:rFonts w:ascii="Calibri" w:eastAsia="Times New Roman" w:hAnsi="Calibri" w:cs="Times New Roman"/>
                <w:lang w:val="uk-UA" w:eastAsia="ru-RU"/>
              </w:rPr>
            </w:pPr>
            <w:r w:rsidRPr="00934A35">
              <w:rPr>
                <w:rFonts w:ascii="Calibri" w:eastAsia="Times New Roman" w:hAnsi="Calibri" w:cs="Times New Roman"/>
                <w:lang w:val="uk-UA" w:eastAsia="ru-RU"/>
              </w:rPr>
              <w:t>Житомир і область</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BE7A007" w14:textId="77777777" w:rsidR="00E416CF" w:rsidRPr="00934A35" w:rsidRDefault="00E416CF" w:rsidP="00E416CF">
            <w:pPr>
              <w:spacing w:after="0" w:line="256" w:lineRule="auto"/>
              <w:jc w:val="center"/>
              <w:rPr>
                <w:rFonts w:ascii="Calibri" w:eastAsia="Times New Roman" w:hAnsi="Calibri" w:cs="Times New Roman"/>
                <w:lang w:val="uk-UA" w:eastAsia="ru-RU"/>
              </w:rPr>
            </w:pPr>
            <w:r w:rsidRPr="00934A35">
              <w:rPr>
                <w:rFonts w:ascii="Calibri" w:eastAsia="Times New Roman" w:hAnsi="Calibri" w:cs="Times New Roman"/>
                <w:lang w:val="uk-UA" w:eastAsia="ru-RU"/>
              </w:rPr>
              <w:t>5</w:t>
            </w:r>
          </w:p>
        </w:tc>
      </w:tr>
      <w:tr w:rsidR="00934A35" w:rsidRPr="00934A35" w14:paraId="0D12CC96" w14:textId="77777777" w:rsidTr="002E4454">
        <w:trPr>
          <w:trHeight w:val="300"/>
        </w:trPr>
        <w:tc>
          <w:tcPr>
            <w:tcW w:w="7386" w:type="dxa"/>
            <w:tcBorders>
              <w:top w:val="single" w:sz="4" w:space="0" w:color="auto"/>
              <w:left w:val="single" w:sz="4" w:space="0" w:color="auto"/>
              <w:bottom w:val="single" w:sz="4" w:space="0" w:color="auto"/>
              <w:right w:val="single" w:sz="4" w:space="0" w:color="auto"/>
            </w:tcBorders>
            <w:noWrap/>
            <w:vAlign w:val="bottom"/>
            <w:hideMark/>
          </w:tcPr>
          <w:p w14:paraId="3241403C" w14:textId="77777777" w:rsidR="00E416CF" w:rsidRPr="00934A35" w:rsidRDefault="00E416CF">
            <w:pPr>
              <w:spacing w:after="0" w:line="256" w:lineRule="auto"/>
              <w:jc w:val="left"/>
              <w:rPr>
                <w:rFonts w:ascii="Calibri" w:eastAsia="Times New Roman" w:hAnsi="Calibri" w:cs="Times New Roman"/>
                <w:lang w:val="uk-UA" w:eastAsia="ru-RU"/>
              </w:rPr>
            </w:pPr>
            <w:r w:rsidRPr="00934A35">
              <w:rPr>
                <w:rFonts w:ascii="Calibri" w:eastAsia="Times New Roman" w:hAnsi="Calibri" w:cs="Times New Roman"/>
                <w:lang w:val="uk-UA" w:eastAsia="ru-RU"/>
              </w:rPr>
              <w:t>Херсон</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C49FA44" w14:textId="77777777" w:rsidR="00E416CF" w:rsidRPr="00934A35" w:rsidRDefault="00E416CF" w:rsidP="00E416CF">
            <w:pPr>
              <w:spacing w:after="0" w:line="256" w:lineRule="auto"/>
              <w:jc w:val="center"/>
              <w:rPr>
                <w:rFonts w:ascii="Calibri" w:eastAsia="Times New Roman" w:hAnsi="Calibri" w:cs="Times New Roman"/>
                <w:lang w:val="uk-UA" w:eastAsia="ru-RU"/>
              </w:rPr>
            </w:pPr>
            <w:r w:rsidRPr="00934A35">
              <w:rPr>
                <w:rFonts w:ascii="Calibri" w:eastAsia="Times New Roman" w:hAnsi="Calibri" w:cs="Times New Roman"/>
                <w:lang w:val="uk-UA" w:eastAsia="ru-RU"/>
              </w:rPr>
              <w:t>5</w:t>
            </w:r>
          </w:p>
        </w:tc>
      </w:tr>
      <w:tr w:rsidR="00934A35" w:rsidRPr="00934A35" w14:paraId="5FEA6720" w14:textId="77777777" w:rsidTr="002E4454">
        <w:trPr>
          <w:trHeight w:val="300"/>
        </w:trPr>
        <w:tc>
          <w:tcPr>
            <w:tcW w:w="7386" w:type="dxa"/>
            <w:tcBorders>
              <w:top w:val="single" w:sz="4" w:space="0" w:color="auto"/>
              <w:left w:val="single" w:sz="4" w:space="0" w:color="auto"/>
              <w:bottom w:val="single" w:sz="4" w:space="0" w:color="auto"/>
              <w:right w:val="single" w:sz="4" w:space="0" w:color="auto"/>
            </w:tcBorders>
            <w:noWrap/>
            <w:vAlign w:val="bottom"/>
            <w:hideMark/>
          </w:tcPr>
          <w:p w14:paraId="253F4DB7" w14:textId="77777777" w:rsidR="00E416CF" w:rsidRPr="00934A35" w:rsidRDefault="00E416CF">
            <w:pPr>
              <w:spacing w:after="0" w:line="256" w:lineRule="auto"/>
              <w:jc w:val="left"/>
              <w:rPr>
                <w:rFonts w:ascii="Calibri" w:eastAsia="Times New Roman" w:hAnsi="Calibri" w:cs="Times New Roman"/>
                <w:lang w:val="uk-UA" w:eastAsia="ru-RU"/>
              </w:rPr>
            </w:pPr>
            <w:r w:rsidRPr="00934A35">
              <w:rPr>
                <w:rFonts w:ascii="Calibri" w:eastAsia="Times New Roman" w:hAnsi="Calibri" w:cs="Times New Roman"/>
                <w:lang w:val="uk-UA" w:eastAsia="ru-RU"/>
              </w:rPr>
              <w:t>Черкаси</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8953A4E" w14:textId="77777777" w:rsidR="00E416CF" w:rsidRPr="00934A35" w:rsidRDefault="00E416CF" w:rsidP="00E416CF">
            <w:pPr>
              <w:spacing w:after="0" w:line="256" w:lineRule="auto"/>
              <w:jc w:val="center"/>
              <w:rPr>
                <w:rFonts w:ascii="Calibri" w:eastAsia="Times New Roman" w:hAnsi="Calibri" w:cs="Times New Roman"/>
                <w:lang w:val="uk-UA" w:eastAsia="ru-RU"/>
              </w:rPr>
            </w:pPr>
            <w:r w:rsidRPr="00934A35">
              <w:rPr>
                <w:rFonts w:ascii="Calibri" w:eastAsia="Times New Roman" w:hAnsi="Calibri" w:cs="Times New Roman"/>
                <w:lang w:val="uk-UA" w:eastAsia="ru-RU"/>
              </w:rPr>
              <w:t>4</w:t>
            </w:r>
          </w:p>
        </w:tc>
      </w:tr>
      <w:tr w:rsidR="00934A35" w:rsidRPr="00934A35" w14:paraId="35CEA0EC" w14:textId="77777777" w:rsidTr="002E4454">
        <w:trPr>
          <w:trHeight w:val="300"/>
        </w:trPr>
        <w:tc>
          <w:tcPr>
            <w:tcW w:w="7386" w:type="dxa"/>
            <w:tcBorders>
              <w:top w:val="single" w:sz="4" w:space="0" w:color="auto"/>
              <w:left w:val="single" w:sz="4" w:space="0" w:color="auto"/>
              <w:bottom w:val="single" w:sz="4" w:space="0" w:color="auto"/>
              <w:right w:val="single" w:sz="4" w:space="0" w:color="auto"/>
            </w:tcBorders>
            <w:noWrap/>
            <w:vAlign w:val="bottom"/>
            <w:hideMark/>
          </w:tcPr>
          <w:p w14:paraId="3E831795" w14:textId="4FB8C02E" w:rsidR="00E416CF" w:rsidRPr="00934A35" w:rsidRDefault="00E416CF" w:rsidP="00E416CF">
            <w:pPr>
              <w:spacing w:after="0" w:line="256" w:lineRule="auto"/>
              <w:jc w:val="left"/>
              <w:rPr>
                <w:rFonts w:ascii="Calibri" w:eastAsia="Times New Roman" w:hAnsi="Calibri" w:cs="Times New Roman"/>
                <w:lang w:val="uk-UA" w:eastAsia="ru-RU"/>
              </w:rPr>
            </w:pPr>
            <w:r w:rsidRPr="00934A35">
              <w:rPr>
                <w:rFonts w:ascii="Calibri" w:eastAsia="Times New Roman" w:hAnsi="Calibri" w:cs="Times New Roman"/>
                <w:lang w:val="uk-UA" w:eastAsia="ru-RU"/>
              </w:rPr>
              <w:t>Донецька область (під українським контролем)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62C8A9E" w14:textId="77777777" w:rsidR="00E416CF" w:rsidRPr="00934A35" w:rsidRDefault="00E416CF" w:rsidP="00E416CF">
            <w:pPr>
              <w:spacing w:after="0" w:line="256" w:lineRule="auto"/>
              <w:jc w:val="center"/>
              <w:rPr>
                <w:rFonts w:ascii="Calibri" w:eastAsia="Times New Roman" w:hAnsi="Calibri" w:cs="Times New Roman"/>
                <w:lang w:val="uk-UA" w:eastAsia="ru-RU"/>
              </w:rPr>
            </w:pPr>
            <w:r w:rsidRPr="00934A35">
              <w:rPr>
                <w:rFonts w:ascii="Calibri" w:eastAsia="Times New Roman" w:hAnsi="Calibri" w:cs="Times New Roman"/>
                <w:lang w:val="uk-UA" w:eastAsia="ru-RU"/>
              </w:rPr>
              <w:t>3</w:t>
            </w:r>
          </w:p>
        </w:tc>
      </w:tr>
      <w:tr w:rsidR="00934A35" w:rsidRPr="00934A35" w14:paraId="429E6B49" w14:textId="77777777" w:rsidTr="002E4454">
        <w:trPr>
          <w:trHeight w:val="300"/>
        </w:trPr>
        <w:tc>
          <w:tcPr>
            <w:tcW w:w="7386" w:type="dxa"/>
            <w:tcBorders>
              <w:top w:val="single" w:sz="4" w:space="0" w:color="auto"/>
              <w:left w:val="single" w:sz="4" w:space="0" w:color="auto"/>
              <w:bottom w:val="single" w:sz="4" w:space="0" w:color="auto"/>
              <w:right w:val="single" w:sz="4" w:space="0" w:color="auto"/>
            </w:tcBorders>
            <w:noWrap/>
            <w:vAlign w:val="bottom"/>
            <w:hideMark/>
          </w:tcPr>
          <w:p w14:paraId="53004930" w14:textId="625E5F4B" w:rsidR="00E416CF" w:rsidRPr="00934A35" w:rsidRDefault="00E416CF">
            <w:pPr>
              <w:spacing w:after="0" w:line="256" w:lineRule="auto"/>
              <w:jc w:val="left"/>
              <w:rPr>
                <w:rFonts w:ascii="Calibri" w:eastAsia="Times New Roman" w:hAnsi="Calibri" w:cs="Times New Roman"/>
                <w:lang w:val="uk-UA" w:eastAsia="ru-RU"/>
              </w:rPr>
            </w:pPr>
            <w:r w:rsidRPr="00934A35">
              <w:rPr>
                <w:rFonts w:ascii="Calibri" w:eastAsia="Times New Roman" w:hAnsi="Calibri" w:cs="Times New Roman"/>
                <w:lang w:val="uk-UA" w:eastAsia="ru-RU"/>
              </w:rPr>
              <w:t>Суми і область</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D048CE7" w14:textId="77777777" w:rsidR="00E416CF" w:rsidRPr="00934A35" w:rsidRDefault="00E416CF" w:rsidP="00E416CF">
            <w:pPr>
              <w:spacing w:after="0" w:line="256" w:lineRule="auto"/>
              <w:jc w:val="center"/>
              <w:rPr>
                <w:rFonts w:ascii="Calibri" w:eastAsia="Times New Roman" w:hAnsi="Calibri" w:cs="Times New Roman"/>
                <w:lang w:val="uk-UA" w:eastAsia="ru-RU"/>
              </w:rPr>
            </w:pPr>
            <w:r w:rsidRPr="00934A35">
              <w:rPr>
                <w:rFonts w:ascii="Calibri" w:eastAsia="Times New Roman" w:hAnsi="Calibri" w:cs="Times New Roman"/>
                <w:lang w:val="uk-UA" w:eastAsia="ru-RU"/>
              </w:rPr>
              <w:t>3</w:t>
            </w:r>
          </w:p>
        </w:tc>
      </w:tr>
      <w:tr w:rsidR="00934A35" w:rsidRPr="00934A35" w14:paraId="0134CE10" w14:textId="77777777" w:rsidTr="002E4454">
        <w:trPr>
          <w:trHeight w:val="300"/>
        </w:trPr>
        <w:tc>
          <w:tcPr>
            <w:tcW w:w="7386" w:type="dxa"/>
            <w:tcBorders>
              <w:top w:val="single" w:sz="4" w:space="0" w:color="auto"/>
              <w:left w:val="single" w:sz="4" w:space="0" w:color="auto"/>
              <w:bottom w:val="single" w:sz="4" w:space="0" w:color="auto"/>
              <w:right w:val="single" w:sz="4" w:space="0" w:color="auto"/>
            </w:tcBorders>
            <w:noWrap/>
            <w:vAlign w:val="bottom"/>
            <w:hideMark/>
          </w:tcPr>
          <w:p w14:paraId="5286A28A" w14:textId="51FFB270" w:rsidR="00E416CF" w:rsidRPr="00934A35" w:rsidRDefault="00E416CF">
            <w:pPr>
              <w:spacing w:after="0" w:line="256" w:lineRule="auto"/>
              <w:jc w:val="left"/>
              <w:rPr>
                <w:rFonts w:ascii="Calibri" w:eastAsia="Times New Roman" w:hAnsi="Calibri" w:cs="Times New Roman"/>
                <w:lang w:val="uk-UA" w:eastAsia="ru-RU"/>
              </w:rPr>
            </w:pPr>
            <w:r w:rsidRPr="00934A35">
              <w:rPr>
                <w:rFonts w:ascii="Calibri" w:eastAsia="Times New Roman" w:hAnsi="Calibri" w:cs="Times New Roman"/>
                <w:lang w:val="uk-UA" w:eastAsia="ru-RU"/>
              </w:rPr>
              <w:t>Полтава і область</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2166BDE" w14:textId="77777777" w:rsidR="00E416CF" w:rsidRPr="00934A35" w:rsidRDefault="00E416CF" w:rsidP="00E416CF">
            <w:pPr>
              <w:spacing w:after="0" w:line="256" w:lineRule="auto"/>
              <w:jc w:val="center"/>
              <w:rPr>
                <w:rFonts w:ascii="Calibri" w:eastAsia="Times New Roman" w:hAnsi="Calibri" w:cs="Times New Roman"/>
                <w:lang w:val="uk-UA" w:eastAsia="ru-RU"/>
              </w:rPr>
            </w:pPr>
            <w:r w:rsidRPr="00934A35">
              <w:rPr>
                <w:rFonts w:ascii="Calibri" w:eastAsia="Times New Roman" w:hAnsi="Calibri" w:cs="Times New Roman"/>
                <w:lang w:val="uk-UA" w:eastAsia="ru-RU"/>
              </w:rPr>
              <w:t>2</w:t>
            </w:r>
          </w:p>
        </w:tc>
      </w:tr>
      <w:tr w:rsidR="00934A35" w:rsidRPr="00934A35" w14:paraId="64949227" w14:textId="77777777" w:rsidTr="002E4454">
        <w:trPr>
          <w:trHeight w:val="300"/>
        </w:trPr>
        <w:tc>
          <w:tcPr>
            <w:tcW w:w="7386" w:type="dxa"/>
            <w:tcBorders>
              <w:top w:val="single" w:sz="4" w:space="0" w:color="auto"/>
              <w:left w:val="single" w:sz="4" w:space="0" w:color="auto"/>
              <w:bottom w:val="single" w:sz="4" w:space="0" w:color="auto"/>
              <w:right w:val="single" w:sz="4" w:space="0" w:color="auto"/>
            </w:tcBorders>
            <w:noWrap/>
            <w:vAlign w:val="bottom"/>
            <w:hideMark/>
          </w:tcPr>
          <w:p w14:paraId="61D1E7F2" w14:textId="69A88616" w:rsidR="00E416CF" w:rsidRPr="00934A35" w:rsidRDefault="00E416CF" w:rsidP="00E416CF">
            <w:pPr>
              <w:spacing w:after="0" w:line="256" w:lineRule="auto"/>
              <w:jc w:val="left"/>
              <w:rPr>
                <w:rFonts w:ascii="Calibri" w:eastAsia="Times New Roman" w:hAnsi="Calibri" w:cs="Times New Roman"/>
                <w:lang w:val="uk-UA" w:eastAsia="ru-RU"/>
              </w:rPr>
            </w:pPr>
            <w:r w:rsidRPr="00934A35">
              <w:rPr>
                <w:rFonts w:ascii="Calibri" w:eastAsia="Times New Roman" w:hAnsi="Calibri" w:cs="Times New Roman"/>
                <w:lang w:val="uk-UA" w:eastAsia="ru-RU"/>
              </w:rPr>
              <w:t>Автономна Республіка Крим (під російською окупацією)</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CBC083B" w14:textId="77777777" w:rsidR="00E416CF" w:rsidRPr="00934A35" w:rsidRDefault="00E416CF" w:rsidP="00E416CF">
            <w:pPr>
              <w:spacing w:after="0" w:line="256" w:lineRule="auto"/>
              <w:jc w:val="center"/>
              <w:rPr>
                <w:rFonts w:ascii="Calibri" w:eastAsia="Times New Roman" w:hAnsi="Calibri" w:cs="Times New Roman"/>
                <w:lang w:val="uk-UA" w:eastAsia="ru-RU"/>
              </w:rPr>
            </w:pPr>
            <w:r w:rsidRPr="00934A35">
              <w:rPr>
                <w:rFonts w:ascii="Calibri" w:eastAsia="Times New Roman" w:hAnsi="Calibri" w:cs="Times New Roman"/>
                <w:lang w:val="uk-UA" w:eastAsia="ru-RU"/>
              </w:rPr>
              <w:t>1</w:t>
            </w:r>
          </w:p>
        </w:tc>
      </w:tr>
      <w:tr w:rsidR="00934A35" w:rsidRPr="00934A35" w14:paraId="483326B4" w14:textId="77777777" w:rsidTr="002E4454">
        <w:trPr>
          <w:trHeight w:val="300"/>
        </w:trPr>
        <w:tc>
          <w:tcPr>
            <w:tcW w:w="7386" w:type="dxa"/>
            <w:tcBorders>
              <w:top w:val="single" w:sz="4" w:space="0" w:color="auto"/>
              <w:left w:val="single" w:sz="4" w:space="0" w:color="auto"/>
              <w:bottom w:val="single" w:sz="4" w:space="0" w:color="auto"/>
              <w:right w:val="single" w:sz="4" w:space="0" w:color="auto"/>
            </w:tcBorders>
            <w:noWrap/>
            <w:vAlign w:val="bottom"/>
            <w:hideMark/>
          </w:tcPr>
          <w:p w14:paraId="32B7D063" w14:textId="77777777" w:rsidR="00E416CF" w:rsidRPr="00934A35" w:rsidRDefault="00E416CF">
            <w:pPr>
              <w:spacing w:after="0" w:line="256" w:lineRule="auto"/>
              <w:jc w:val="left"/>
              <w:rPr>
                <w:rFonts w:ascii="Calibri" w:eastAsia="Times New Roman" w:hAnsi="Calibri" w:cs="Times New Roman"/>
                <w:lang w:val="uk-UA" w:eastAsia="ru-RU"/>
              </w:rPr>
            </w:pPr>
            <w:r w:rsidRPr="00934A35">
              <w:rPr>
                <w:rFonts w:ascii="Calibri" w:eastAsia="Times New Roman" w:hAnsi="Calibri" w:cs="Times New Roman"/>
                <w:lang w:val="uk-UA" w:eastAsia="ru-RU"/>
              </w:rPr>
              <w:t>Вінниця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0C24739" w14:textId="77777777" w:rsidR="00E416CF" w:rsidRPr="00934A35" w:rsidRDefault="00E416CF" w:rsidP="00E416CF">
            <w:pPr>
              <w:spacing w:after="0" w:line="256" w:lineRule="auto"/>
              <w:jc w:val="center"/>
              <w:rPr>
                <w:rFonts w:ascii="Calibri" w:eastAsia="Times New Roman" w:hAnsi="Calibri" w:cs="Times New Roman"/>
                <w:lang w:val="uk-UA" w:eastAsia="ru-RU"/>
              </w:rPr>
            </w:pPr>
            <w:r w:rsidRPr="00934A35">
              <w:rPr>
                <w:rFonts w:ascii="Calibri" w:eastAsia="Times New Roman" w:hAnsi="Calibri" w:cs="Times New Roman"/>
                <w:lang w:val="uk-UA" w:eastAsia="ru-RU"/>
              </w:rPr>
              <w:t>1</w:t>
            </w:r>
          </w:p>
        </w:tc>
      </w:tr>
      <w:tr w:rsidR="00934A35" w:rsidRPr="00934A35" w14:paraId="7789917B" w14:textId="77777777" w:rsidTr="002E4454">
        <w:trPr>
          <w:trHeight w:val="300"/>
        </w:trPr>
        <w:tc>
          <w:tcPr>
            <w:tcW w:w="7386" w:type="dxa"/>
            <w:tcBorders>
              <w:top w:val="single" w:sz="4" w:space="0" w:color="auto"/>
              <w:left w:val="single" w:sz="4" w:space="0" w:color="auto"/>
              <w:bottom w:val="single" w:sz="4" w:space="0" w:color="auto"/>
              <w:right w:val="single" w:sz="4" w:space="0" w:color="auto"/>
            </w:tcBorders>
            <w:noWrap/>
            <w:vAlign w:val="bottom"/>
            <w:hideMark/>
          </w:tcPr>
          <w:p w14:paraId="6D60AECA" w14:textId="77777777" w:rsidR="00E416CF" w:rsidRPr="00934A35" w:rsidRDefault="00E416CF">
            <w:pPr>
              <w:spacing w:after="0" w:line="256" w:lineRule="auto"/>
              <w:jc w:val="left"/>
              <w:rPr>
                <w:rFonts w:ascii="Calibri" w:eastAsia="Times New Roman" w:hAnsi="Calibri" w:cs="Times New Roman"/>
                <w:lang w:val="uk-UA" w:eastAsia="ru-RU"/>
              </w:rPr>
            </w:pPr>
            <w:r w:rsidRPr="00934A35">
              <w:rPr>
                <w:rFonts w:ascii="Calibri" w:eastAsia="Times New Roman" w:hAnsi="Calibri" w:cs="Times New Roman"/>
                <w:lang w:val="uk-UA" w:eastAsia="ru-RU"/>
              </w:rPr>
              <w:t>Луцьк</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11E6EB3" w14:textId="77777777" w:rsidR="00E416CF" w:rsidRPr="00934A35" w:rsidRDefault="00E416CF" w:rsidP="00E416CF">
            <w:pPr>
              <w:spacing w:after="0" w:line="256" w:lineRule="auto"/>
              <w:jc w:val="center"/>
              <w:rPr>
                <w:rFonts w:ascii="Calibri" w:eastAsia="Times New Roman" w:hAnsi="Calibri" w:cs="Times New Roman"/>
                <w:lang w:val="uk-UA" w:eastAsia="ru-RU"/>
              </w:rPr>
            </w:pPr>
            <w:r w:rsidRPr="00934A35">
              <w:rPr>
                <w:rFonts w:ascii="Calibri" w:eastAsia="Times New Roman" w:hAnsi="Calibri" w:cs="Times New Roman"/>
                <w:lang w:val="uk-UA" w:eastAsia="ru-RU"/>
              </w:rPr>
              <w:t>1</w:t>
            </w:r>
          </w:p>
        </w:tc>
      </w:tr>
      <w:tr w:rsidR="00934A35" w:rsidRPr="00934A35" w14:paraId="5AF1EAB6" w14:textId="77777777" w:rsidTr="002E4454">
        <w:trPr>
          <w:trHeight w:val="300"/>
        </w:trPr>
        <w:tc>
          <w:tcPr>
            <w:tcW w:w="7386" w:type="dxa"/>
            <w:tcBorders>
              <w:top w:val="single" w:sz="4" w:space="0" w:color="auto"/>
              <w:left w:val="single" w:sz="4" w:space="0" w:color="auto"/>
              <w:bottom w:val="single" w:sz="4" w:space="0" w:color="auto"/>
              <w:right w:val="single" w:sz="4" w:space="0" w:color="auto"/>
            </w:tcBorders>
            <w:noWrap/>
            <w:vAlign w:val="bottom"/>
            <w:hideMark/>
          </w:tcPr>
          <w:p w14:paraId="739F0E52" w14:textId="1BD4FF0A" w:rsidR="00E416CF" w:rsidRPr="00934A35" w:rsidRDefault="00E416CF">
            <w:pPr>
              <w:spacing w:after="0" w:line="256" w:lineRule="auto"/>
              <w:jc w:val="left"/>
              <w:rPr>
                <w:rFonts w:ascii="Calibri" w:eastAsia="Times New Roman" w:hAnsi="Calibri" w:cs="Times New Roman"/>
                <w:lang w:val="uk-UA" w:eastAsia="ru-RU"/>
              </w:rPr>
            </w:pPr>
            <w:r w:rsidRPr="00934A35">
              <w:rPr>
                <w:rFonts w:ascii="Calibri" w:eastAsia="Times New Roman" w:hAnsi="Calibri" w:cs="Times New Roman"/>
                <w:lang w:val="uk-UA" w:eastAsia="ru-RU"/>
              </w:rPr>
              <w:t>Донецька область (під російською окупацією)</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7F55CB2" w14:textId="77777777" w:rsidR="00E416CF" w:rsidRPr="00934A35" w:rsidRDefault="00E416CF" w:rsidP="00E416CF">
            <w:pPr>
              <w:spacing w:after="0" w:line="256" w:lineRule="auto"/>
              <w:jc w:val="center"/>
              <w:rPr>
                <w:rFonts w:ascii="Calibri" w:eastAsia="Times New Roman" w:hAnsi="Calibri" w:cs="Times New Roman"/>
                <w:lang w:val="uk-UA" w:eastAsia="ru-RU"/>
              </w:rPr>
            </w:pPr>
            <w:r w:rsidRPr="00934A35">
              <w:rPr>
                <w:rFonts w:ascii="Calibri" w:eastAsia="Times New Roman" w:hAnsi="Calibri" w:cs="Times New Roman"/>
                <w:lang w:val="uk-UA" w:eastAsia="ru-RU"/>
              </w:rPr>
              <w:t>1</w:t>
            </w:r>
          </w:p>
        </w:tc>
      </w:tr>
      <w:tr w:rsidR="00934A35" w:rsidRPr="00934A35" w14:paraId="37AE2B08" w14:textId="77777777" w:rsidTr="002E4454">
        <w:trPr>
          <w:trHeight w:val="300"/>
        </w:trPr>
        <w:tc>
          <w:tcPr>
            <w:tcW w:w="7386" w:type="dxa"/>
            <w:tcBorders>
              <w:top w:val="single" w:sz="4" w:space="0" w:color="auto"/>
              <w:left w:val="single" w:sz="4" w:space="0" w:color="auto"/>
              <w:bottom w:val="single" w:sz="4" w:space="0" w:color="auto"/>
              <w:right w:val="single" w:sz="4" w:space="0" w:color="auto"/>
            </w:tcBorders>
            <w:noWrap/>
            <w:vAlign w:val="bottom"/>
            <w:hideMark/>
          </w:tcPr>
          <w:p w14:paraId="0DC61DFD" w14:textId="4F743BDB" w:rsidR="00E416CF" w:rsidRPr="00934A35" w:rsidRDefault="00E416CF">
            <w:pPr>
              <w:spacing w:after="0" w:line="256" w:lineRule="auto"/>
              <w:jc w:val="left"/>
              <w:rPr>
                <w:rFonts w:ascii="Calibri" w:eastAsia="Times New Roman" w:hAnsi="Calibri" w:cs="Times New Roman"/>
                <w:lang w:val="uk-UA" w:eastAsia="ru-RU"/>
              </w:rPr>
            </w:pPr>
            <w:r w:rsidRPr="00934A35">
              <w:rPr>
                <w:rFonts w:ascii="Calibri" w:eastAsia="Times New Roman" w:hAnsi="Calibri" w:cs="Times New Roman"/>
                <w:lang w:val="uk-UA" w:eastAsia="ru-RU"/>
              </w:rPr>
              <w:t>Івано-Франківська область</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4792C89" w14:textId="77777777" w:rsidR="00E416CF" w:rsidRPr="00934A35" w:rsidRDefault="00E416CF" w:rsidP="00E416CF">
            <w:pPr>
              <w:spacing w:after="0" w:line="256" w:lineRule="auto"/>
              <w:jc w:val="center"/>
              <w:rPr>
                <w:rFonts w:ascii="Calibri" w:eastAsia="Times New Roman" w:hAnsi="Calibri" w:cs="Times New Roman"/>
                <w:lang w:val="uk-UA" w:eastAsia="ru-RU"/>
              </w:rPr>
            </w:pPr>
            <w:r w:rsidRPr="00934A35">
              <w:rPr>
                <w:rFonts w:ascii="Calibri" w:eastAsia="Times New Roman" w:hAnsi="Calibri" w:cs="Times New Roman"/>
                <w:lang w:val="uk-UA" w:eastAsia="ru-RU"/>
              </w:rPr>
              <w:t>1</w:t>
            </w:r>
          </w:p>
        </w:tc>
      </w:tr>
      <w:tr w:rsidR="00934A35" w:rsidRPr="00934A35" w14:paraId="6B1376C7" w14:textId="77777777" w:rsidTr="002E4454">
        <w:trPr>
          <w:trHeight w:val="300"/>
        </w:trPr>
        <w:tc>
          <w:tcPr>
            <w:tcW w:w="7386" w:type="dxa"/>
            <w:tcBorders>
              <w:top w:val="single" w:sz="4" w:space="0" w:color="auto"/>
              <w:left w:val="single" w:sz="4" w:space="0" w:color="auto"/>
              <w:bottom w:val="single" w:sz="4" w:space="0" w:color="auto"/>
              <w:right w:val="single" w:sz="4" w:space="0" w:color="auto"/>
            </w:tcBorders>
            <w:noWrap/>
            <w:vAlign w:val="bottom"/>
            <w:hideMark/>
          </w:tcPr>
          <w:p w14:paraId="2FB5B2A4" w14:textId="1F8F3C6C" w:rsidR="00E416CF" w:rsidRPr="00934A35" w:rsidRDefault="00E416CF">
            <w:pPr>
              <w:spacing w:after="0" w:line="256" w:lineRule="auto"/>
              <w:jc w:val="left"/>
              <w:rPr>
                <w:rFonts w:ascii="Calibri" w:eastAsia="Times New Roman" w:hAnsi="Calibri" w:cs="Times New Roman"/>
                <w:lang w:val="uk-UA" w:eastAsia="ru-RU"/>
              </w:rPr>
            </w:pPr>
            <w:r w:rsidRPr="00934A35">
              <w:rPr>
                <w:rFonts w:ascii="Calibri" w:eastAsia="Times New Roman" w:hAnsi="Calibri" w:cs="Times New Roman"/>
                <w:lang w:val="uk-UA" w:eastAsia="ru-RU"/>
              </w:rPr>
              <w:t>Луганська область (під українським контролем)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8930429" w14:textId="77777777" w:rsidR="00E416CF" w:rsidRPr="00934A35" w:rsidRDefault="00E416CF" w:rsidP="00E416CF">
            <w:pPr>
              <w:spacing w:after="0" w:line="256" w:lineRule="auto"/>
              <w:jc w:val="center"/>
              <w:rPr>
                <w:rFonts w:ascii="Calibri" w:eastAsia="Times New Roman" w:hAnsi="Calibri" w:cs="Times New Roman"/>
                <w:lang w:val="uk-UA" w:eastAsia="ru-RU"/>
              </w:rPr>
            </w:pPr>
            <w:r w:rsidRPr="00934A35">
              <w:rPr>
                <w:rFonts w:ascii="Calibri" w:eastAsia="Times New Roman" w:hAnsi="Calibri" w:cs="Times New Roman"/>
                <w:lang w:val="uk-UA" w:eastAsia="ru-RU"/>
              </w:rPr>
              <w:t>1</w:t>
            </w:r>
          </w:p>
        </w:tc>
      </w:tr>
      <w:tr w:rsidR="00934A35" w:rsidRPr="00934A35" w14:paraId="323E4439" w14:textId="77777777" w:rsidTr="002E4454">
        <w:trPr>
          <w:trHeight w:val="300"/>
        </w:trPr>
        <w:tc>
          <w:tcPr>
            <w:tcW w:w="7386" w:type="dxa"/>
            <w:tcBorders>
              <w:top w:val="single" w:sz="4" w:space="0" w:color="auto"/>
              <w:left w:val="single" w:sz="4" w:space="0" w:color="auto"/>
              <w:bottom w:val="single" w:sz="4" w:space="0" w:color="auto"/>
              <w:right w:val="single" w:sz="4" w:space="0" w:color="auto"/>
            </w:tcBorders>
            <w:noWrap/>
            <w:vAlign w:val="bottom"/>
            <w:hideMark/>
          </w:tcPr>
          <w:p w14:paraId="64C0A0FC" w14:textId="77777777" w:rsidR="00E416CF" w:rsidRPr="00934A35" w:rsidRDefault="00E416CF">
            <w:pPr>
              <w:spacing w:after="0" w:line="256" w:lineRule="auto"/>
              <w:jc w:val="left"/>
              <w:rPr>
                <w:rFonts w:ascii="Calibri" w:eastAsia="Times New Roman" w:hAnsi="Calibri" w:cs="Times New Roman"/>
                <w:lang w:val="uk-UA" w:eastAsia="ru-RU"/>
              </w:rPr>
            </w:pPr>
            <w:r w:rsidRPr="00934A35">
              <w:rPr>
                <w:rFonts w:ascii="Calibri" w:eastAsia="Times New Roman" w:hAnsi="Calibri" w:cs="Times New Roman"/>
                <w:lang w:val="uk-UA" w:eastAsia="ru-RU"/>
              </w:rPr>
              <w:t>Миколаїв</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CECC494" w14:textId="77777777" w:rsidR="00E416CF" w:rsidRPr="00934A35" w:rsidRDefault="00E416CF" w:rsidP="00E416CF">
            <w:pPr>
              <w:spacing w:after="0" w:line="256" w:lineRule="auto"/>
              <w:jc w:val="center"/>
              <w:rPr>
                <w:rFonts w:ascii="Calibri" w:eastAsia="Times New Roman" w:hAnsi="Calibri" w:cs="Times New Roman"/>
                <w:lang w:val="uk-UA" w:eastAsia="ru-RU"/>
              </w:rPr>
            </w:pPr>
            <w:r w:rsidRPr="00934A35">
              <w:rPr>
                <w:rFonts w:ascii="Calibri" w:eastAsia="Times New Roman" w:hAnsi="Calibri" w:cs="Times New Roman"/>
                <w:lang w:val="uk-UA" w:eastAsia="ru-RU"/>
              </w:rPr>
              <w:t>1</w:t>
            </w:r>
          </w:p>
        </w:tc>
      </w:tr>
      <w:tr w:rsidR="00934A35" w:rsidRPr="00934A35" w14:paraId="4FFE84F2" w14:textId="77777777" w:rsidTr="002E4454">
        <w:trPr>
          <w:trHeight w:val="300"/>
        </w:trPr>
        <w:tc>
          <w:tcPr>
            <w:tcW w:w="7386" w:type="dxa"/>
            <w:tcBorders>
              <w:top w:val="single" w:sz="4" w:space="0" w:color="auto"/>
              <w:left w:val="single" w:sz="4" w:space="0" w:color="auto"/>
              <w:bottom w:val="single" w:sz="4" w:space="0" w:color="auto"/>
              <w:right w:val="single" w:sz="4" w:space="0" w:color="auto"/>
            </w:tcBorders>
            <w:noWrap/>
            <w:vAlign w:val="bottom"/>
            <w:hideMark/>
          </w:tcPr>
          <w:p w14:paraId="19CC0C1C" w14:textId="77777777" w:rsidR="00E416CF" w:rsidRPr="00934A35" w:rsidRDefault="00E416CF">
            <w:pPr>
              <w:spacing w:after="0" w:line="256" w:lineRule="auto"/>
              <w:jc w:val="left"/>
              <w:rPr>
                <w:rFonts w:ascii="Calibri" w:eastAsia="Times New Roman" w:hAnsi="Calibri" w:cs="Times New Roman"/>
                <w:lang w:val="uk-UA" w:eastAsia="ru-RU"/>
              </w:rPr>
            </w:pPr>
            <w:r w:rsidRPr="00934A35">
              <w:rPr>
                <w:rFonts w:ascii="Calibri" w:eastAsia="Times New Roman" w:hAnsi="Calibri" w:cs="Times New Roman"/>
                <w:lang w:val="uk-UA" w:eastAsia="ru-RU"/>
              </w:rPr>
              <w:t>Рівне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3F95A00" w14:textId="77777777" w:rsidR="00E416CF" w:rsidRPr="00934A35" w:rsidRDefault="00E416CF" w:rsidP="00E416CF">
            <w:pPr>
              <w:spacing w:after="0" w:line="256" w:lineRule="auto"/>
              <w:jc w:val="center"/>
              <w:rPr>
                <w:rFonts w:ascii="Calibri" w:eastAsia="Times New Roman" w:hAnsi="Calibri" w:cs="Times New Roman"/>
                <w:lang w:val="uk-UA" w:eastAsia="ru-RU"/>
              </w:rPr>
            </w:pPr>
            <w:r w:rsidRPr="00934A35">
              <w:rPr>
                <w:rFonts w:ascii="Calibri" w:eastAsia="Times New Roman" w:hAnsi="Calibri" w:cs="Times New Roman"/>
                <w:lang w:val="uk-UA" w:eastAsia="ru-RU"/>
              </w:rPr>
              <w:t>1</w:t>
            </w:r>
          </w:p>
        </w:tc>
      </w:tr>
      <w:tr w:rsidR="00934A35" w:rsidRPr="00934A35" w14:paraId="6A2E1C38" w14:textId="77777777" w:rsidTr="002E4454">
        <w:trPr>
          <w:trHeight w:val="300"/>
        </w:trPr>
        <w:tc>
          <w:tcPr>
            <w:tcW w:w="7386" w:type="dxa"/>
            <w:tcBorders>
              <w:top w:val="single" w:sz="4" w:space="0" w:color="auto"/>
              <w:left w:val="single" w:sz="4" w:space="0" w:color="auto"/>
              <w:bottom w:val="single" w:sz="4" w:space="0" w:color="auto"/>
              <w:right w:val="single" w:sz="4" w:space="0" w:color="auto"/>
            </w:tcBorders>
            <w:noWrap/>
            <w:vAlign w:val="bottom"/>
            <w:hideMark/>
          </w:tcPr>
          <w:p w14:paraId="723F14AC" w14:textId="5B6243E8" w:rsidR="00E416CF" w:rsidRPr="00934A35" w:rsidRDefault="00E416CF">
            <w:pPr>
              <w:spacing w:after="0" w:line="256" w:lineRule="auto"/>
              <w:jc w:val="left"/>
              <w:rPr>
                <w:rFonts w:ascii="Calibri" w:eastAsia="Times New Roman" w:hAnsi="Calibri" w:cs="Times New Roman"/>
                <w:lang w:val="uk-UA" w:eastAsia="ru-RU"/>
              </w:rPr>
            </w:pPr>
            <w:r w:rsidRPr="00934A35">
              <w:rPr>
                <w:rFonts w:ascii="Calibri" w:eastAsia="Times New Roman" w:hAnsi="Calibri" w:cs="Times New Roman"/>
                <w:lang w:val="uk-UA" w:eastAsia="ru-RU"/>
              </w:rPr>
              <w:t>Чернігівська область</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90905BD" w14:textId="77777777" w:rsidR="00E416CF" w:rsidRPr="00934A35" w:rsidRDefault="00E416CF" w:rsidP="00E416CF">
            <w:pPr>
              <w:spacing w:after="0" w:line="256" w:lineRule="auto"/>
              <w:jc w:val="center"/>
              <w:rPr>
                <w:rFonts w:ascii="Calibri" w:eastAsia="Times New Roman" w:hAnsi="Calibri" w:cs="Times New Roman"/>
                <w:lang w:val="uk-UA" w:eastAsia="ru-RU"/>
              </w:rPr>
            </w:pPr>
            <w:r w:rsidRPr="00934A35">
              <w:rPr>
                <w:rFonts w:ascii="Calibri" w:eastAsia="Times New Roman" w:hAnsi="Calibri" w:cs="Times New Roman"/>
                <w:lang w:val="uk-UA" w:eastAsia="ru-RU"/>
              </w:rPr>
              <w:t>1</w:t>
            </w:r>
          </w:p>
        </w:tc>
      </w:tr>
      <w:tr w:rsidR="00E416CF" w:rsidRPr="00934A35" w14:paraId="7E1E0C1F" w14:textId="77777777" w:rsidTr="002E4454">
        <w:trPr>
          <w:trHeight w:val="300"/>
        </w:trPr>
        <w:tc>
          <w:tcPr>
            <w:tcW w:w="7386" w:type="dxa"/>
            <w:tcBorders>
              <w:top w:val="single" w:sz="4" w:space="0" w:color="auto"/>
              <w:left w:val="single" w:sz="4" w:space="0" w:color="auto"/>
              <w:bottom w:val="single" w:sz="4" w:space="0" w:color="auto"/>
              <w:right w:val="single" w:sz="4" w:space="0" w:color="auto"/>
            </w:tcBorders>
            <w:noWrap/>
            <w:vAlign w:val="bottom"/>
            <w:hideMark/>
          </w:tcPr>
          <w:p w14:paraId="05FD743A" w14:textId="77777777" w:rsidR="00E416CF" w:rsidRPr="00934A35" w:rsidRDefault="00E416CF">
            <w:pPr>
              <w:spacing w:after="0" w:line="256" w:lineRule="auto"/>
              <w:jc w:val="left"/>
              <w:rPr>
                <w:rFonts w:ascii="Calibri" w:eastAsia="Times New Roman" w:hAnsi="Calibri" w:cs="Times New Roman"/>
                <w:lang w:val="uk-UA" w:eastAsia="ru-RU"/>
              </w:rPr>
            </w:pPr>
            <w:r w:rsidRPr="00934A35">
              <w:rPr>
                <w:b/>
                <w:lang w:val="uk-UA"/>
              </w:rPr>
              <w:t>УСЬОГО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608D6A" w14:textId="77777777" w:rsidR="00E416CF" w:rsidRPr="00934A35" w:rsidRDefault="00E416CF" w:rsidP="00E416CF">
            <w:pPr>
              <w:spacing w:after="0" w:line="256" w:lineRule="auto"/>
              <w:jc w:val="center"/>
              <w:rPr>
                <w:rFonts w:ascii="Calibri" w:eastAsia="Times New Roman" w:hAnsi="Calibri" w:cs="Times New Roman"/>
                <w:lang w:val="uk-UA" w:eastAsia="ru-RU"/>
              </w:rPr>
            </w:pPr>
            <w:r w:rsidRPr="00934A35">
              <w:rPr>
                <w:rFonts w:ascii="Calibri" w:eastAsia="Times New Roman" w:hAnsi="Calibri" w:cs="Times New Roman"/>
                <w:lang w:val="uk-UA" w:eastAsia="ru-RU"/>
              </w:rPr>
              <w:t>117</w:t>
            </w:r>
          </w:p>
        </w:tc>
      </w:tr>
    </w:tbl>
    <w:p w14:paraId="61C401B0" w14:textId="77777777" w:rsidR="00E416CF" w:rsidRPr="00934A35" w:rsidRDefault="00E416CF" w:rsidP="00E416CF">
      <w:pPr>
        <w:spacing w:after="0"/>
        <w:rPr>
          <w:lang w:val="uk-UA"/>
        </w:rPr>
      </w:pPr>
    </w:p>
    <w:p w14:paraId="3781A3AA" w14:textId="77777777" w:rsidR="00E416CF" w:rsidRPr="00934A35" w:rsidRDefault="00E416CF" w:rsidP="00E416CF">
      <w:pPr>
        <w:spacing w:before="240"/>
        <w:contextualSpacing w:val="0"/>
        <w:rPr>
          <w:b/>
          <w:lang w:val="uk-UA"/>
        </w:rPr>
      </w:pPr>
      <w:r w:rsidRPr="00934A35">
        <w:rPr>
          <w:b/>
          <w:lang w:val="uk-UA"/>
        </w:rPr>
        <w:t>Дії на ґрунті ненависті щодо ЛГБТ</w:t>
      </w:r>
    </w:p>
    <w:p w14:paraId="03708BBA" w14:textId="19DBD752" w:rsidR="00E416CF" w:rsidRPr="00934A35" w:rsidRDefault="00E416CF" w:rsidP="002E4454">
      <w:pPr>
        <w:spacing w:after="240"/>
        <w:contextualSpacing w:val="0"/>
        <w:rPr>
          <w:lang w:val="uk-UA"/>
        </w:rPr>
      </w:pPr>
      <w:r w:rsidRPr="00934A35">
        <w:rPr>
          <w:lang w:val="uk-UA"/>
        </w:rPr>
        <w:t xml:space="preserve">Як і в попередні роки, найбільша кількість випадків (97) стосується дій на ґрунті </w:t>
      </w:r>
      <w:proofErr w:type="spellStart"/>
      <w:r w:rsidRPr="00934A35">
        <w:rPr>
          <w:lang w:val="uk-UA"/>
        </w:rPr>
        <w:t>гомофобії</w:t>
      </w:r>
      <w:proofErr w:type="spellEnd"/>
      <w:r w:rsidRPr="00934A35">
        <w:rPr>
          <w:lang w:val="uk-UA"/>
        </w:rPr>
        <w:t xml:space="preserve"> чи </w:t>
      </w:r>
      <w:proofErr w:type="spellStart"/>
      <w:r w:rsidRPr="00934A35">
        <w:rPr>
          <w:lang w:val="uk-UA"/>
        </w:rPr>
        <w:t>трансфобії</w:t>
      </w:r>
      <w:proofErr w:type="spellEnd"/>
      <w:r w:rsidRPr="00934A35">
        <w:rPr>
          <w:lang w:val="uk-UA"/>
        </w:rPr>
        <w:t>. 59 з них можна охарактеризувати як злочини ненависті</w:t>
      </w:r>
      <w:r w:rsidRPr="00934A35">
        <w:rPr>
          <w:vertAlign w:val="superscript"/>
        </w:rPr>
        <w:footnoteReference w:id="3"/>
      </w:r>
      <w:r w:rsidRPr="00934A35">
        <w:rPr>
          <w:lang w:val="uk-UA"/>
        </w:rPr>
        <w:t>, а 33 інших – як інциденти, вчинені на ґрунті ненависті. У 6 випадках були зафіксовані прояви мови ворожнечі. У цих випадках відзначені наступні види порушень (див. таблицю 2):</w:t>
      </w:r>
    </w:p>
    <w:p w14:paraId="0FACFF51" w14:textId="77777777" w:rsidR="00E416CF" w:rsidRPr="00934A35" w:rsidRDefault="00E416CF" w:rsidP="00E416CF">
      <w:pPr>
        <w:rPr>
          <w:i/>
          <w:lang w:val="uk-UA"/>
        </w:rPr>
      </w:pPr>
      <w:r w:rsidRPr="00934A35">
        <w:rPr>
          <w:i/>
          <w:lang w:val="uk-UA"/>
        </w:rPr>
        <w:t>Таблиця 2</w:t>
      </w:r>
    </w:p>
    <w:tbl>
      <w:tblPr>
        <w:tblStyle w:val="a3"/>
        <w:tblW w:w="9072" w:type="dxa"/>
        <w:tblInd w:w="108" w:type="dxa"/>
        <w:tblLayout w:type="fixed"/>
        <w:tblLook w:val="04A0" w:firstRow="1" w:lastRow="0" w:firstColumn="1" w:lastColumn="0" w:noHBand="0" w:noVBand="1"/>
      </w:tblPr>
      <w:tblGrid>
        <w:gridCol w:w="7371"/>
        <w:gridCol w:w="1701"/>
      </w:tblGrid>
      <w:tr w:rsidR="00934A35" w:rsidRPr="00934A35" w14:paraId="1205A339" w14:textId="77777777" w:rsidTr="002E4454">
        <w:tc>
          <w:tcPr>
            <w:tcW w:w="7371" w:type="dxa"/>
            <w:tcBorders>
              <w:top w:val="single" w:sz="4" w:space="0" w:color="auto"/>
              <w:left w:val="single" w:sz="4" w:space="0" w:color="auto"/>
              <w:bottom w:val="single" w:sz="4" w:space="0" w:color="auto"/>
              <w:right w:val="single" w:sz="4" w:space="0" w:color="auto"/>
            </w:tcBorders>
            <w:vAlign w:val="center"/>
            <w:hideMark/>
          </w:tcPr>
          <w:p w14:paraId="7ACB885C" w14:textId="77777777" w:rsidR="00E416CF" w:rsidRPr="00934A35" w:rsidRDefault="00E416CF">
            <w:pPr>
              <w:spacing w:after="0"/>
              <w:jc w:val="center"/>
              <w:rPr>
                <w:b/>
                <w:lang w:val="uk-UA"/>
              </w:rPr>
            </w:pPr>
            <w:r w:rsidRPr="00934A35">
              <w:rPr>
                <w:b/>
                <w:lang w:val="uk-UA"/>
              </w:rPr>
              <w:t>Види порушень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3B2BA1" w14:textId="77777777" w:rsidR="00E416CF" w:rsidRPr="00934A35" w:rsidRDefault="00E416CF">
            <w:pPr>
              <w:spacing w:after="0"/>
              <w:jc w:val="center"/>
              <w:rPr>
                <w:b/>
                <w:lang w:val="uk-UA"/>
              </w:rPr>
            </w:pPr>
            <w:r w:rsidRPr="00934A35">
              <w:rPr>
                <w:b/>
                <w:lang w:val="uk-UA"/>
              </w:rPr>
              <w:t>Кількість</w:t>
            </w:r>
          </w:p>
        </w:tc>
      </w:tr>
      <w:tr w:rsidR="00934A35" w:rsidRPr="00934A35" w14:paraId="01EE9F0D" w14:textId="77777777" w:rsidTr="002E4454">
        <w:tc>
          <w:tcPr>
            <w:tcW w:w="7371" w:type="dxa"/>
            <w:tcBorders>
              <w:top w:val="single" w:sz="4" w:space="0" w:color="auto"/>
              <w:left w:val="single" w:sz="4" w:space="0" w:color="auto"/>
              <w:bottom w:val="single" w:sz="4" w:space="0" w:color="auto"/>
              <w:right w:val="single" w:sz="4" w:space="0" w:color="auto"/>
            </w:tcBorders>
            <w:vAlign w:val="center"/>
            <w:hideMark/>
          </w:tcPr>
          <w:p w14:paraId="7D536C30" w14:textId="77777777" w:rsidR="00E416CF" w:rsidRPr="00934A35" w:rsidRDefault="00E416CF">
            <w:pPr>
              <w:spacing w:after="0"/>
              <w:jc w:val="left"/>
              <w:rPr>
                <w:lang w:val="uk-UA"/>
              </w:rPr>
            </w:pPr>
            <w:r w:rsidRPr="00934A35">
              <w:rPr>
                <w:lang w:val="uk-UA"/>
              </w:rPr>
              <w:t>образи, погрози (зокрема, зброєю), приниження людської гідності</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6A6D45" w14:textId="77777777" w:rsidR="00E416CF" w:rsidRPr="00934A35" w:rsidRDefault="00E416CF">
            <w:pPr>
              <w:spacing w:after="0"/>
              <w:jc w:val="center"/>
              <w:rPr>
                <w:lang w:val="uk-UA"/>
              </w:rPr>
            </w:pPr>
            <w:r w:rsidRPr="00934A35">
              <w:rPr>
                <w:lang w:val="uk-UA"/>
              </w:rPr>
              <w:t>71</w:t>
            </w:r>
          </w:p>
        </w:tc>
      </w:tr>
      <w:tr w:rsidR="00934A35" w:rsidRPr="00934A35" w14:paraId="59495027" w14:textId="77777777" w:rsidTr="002E4454">
        <w:tc>
          <w:tcPr>
            <w:tcW w:w="7371" w:type="dxa"/>
            <w:tcBorders>
              <w:top w:val="single" w:sz="4" w:space="0" w:color="auto"/>
              <w:left w:val="single" w:sz="4" w:space="0" w:color="auto"/>
              <w:bottom w:val="single" w:sz="4" w:space="0" w:color="auto"/>
              <w:right w:val="single" w:sz="4" w:space="0" w:color="auto"/>
            </w:tcBorders>
            <w:vAlign w:val="center"/>
            <w:hideMark/>
          </w:tcPr>
          <w:p w14:paraId="3A5864EE" w14:textId="77777777" w:rsidR="00E416CF" w:rsidRPr="00934A35" w:rsidRDefault="00E416CF">
            <w:pPr>
              <w:spacing w:after="0"/>
              <w:jc w:val="left"/>
              <w:rPr>
                <w:lang w:val="uk-UA"/>
              </w:rPr>
            </w:pPr>
            <w:r w:rsidRPr="00934A35">
              <w:rPr>
                <w:lang w:val="uk-UA"/>
              </w:rPr>
              <w:t>фізичне насильство різних ступенів тяжкості</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24C292" w14:textId="77777777" w:rsidR="00E416CF" w:rsidRPr="00934A35" w:rsidRDefault="00E416CF">
            <w:pPr>
              <w:spacing w:after="0"/>
              <w:jc w:val="center"/>
              <w:rPr>
                <w:lang w:val="uk-UA"/>
              </w:rPr>
            </w:pPr>
            <w:r w:rsidRPr="00934A35">
              <w:rPr>
                <w:lang w:val="uk-UA"/>
              </w:rPr>
              <w:t>51</w:t>
            </w:r>
          </w:p>
        </w:tc>
      </w:tr>
      <w:tr w:rsidR="00934A35" w:rsidRPr="00934A35" w14:paraId="06267FD9" w14:textId="77777777" w:rsidTr="002E4454">
        <w:tc>
          <w:tcPr>
            <w:tcW w:w="7371" w:type="dxa"/>
            <w:tcBorders>
              <w:top w:val="single" w:sz="4" w:space="0" w:color="auto"/>
              <w:left w:val="single" w:sz="4" w:space="0" w:color="auto"/>
              <w:bottom w:val="single" w:sz="4" w:space="0" w:color="auto"/>
              <w:right w:val="single" w:sz="4" w:space="0" w:color="auto"/>
            </w:tcBorders>
            <w:vAlign w:val="center"/>
            <w:hideMark/>
          </w:tcPr>
          <w:p w14:paraId="6C94BE68" w14:textId="77777777" w:rsidR="00E416CF" w:rsidRPr="00934A35" w:rsidRDefault="00E416CF">
            <w:pPr>
              <w:spacing w:after="0"/>
              <w:jc w:val="left"/>
              <w:rPr>
                <w:lang w:val="uk-UA"/>
              </w:rPr>
            </w:pPr>
            <w:r w:rsidRPr="00934A35">
              <w:rPr>
                <w:lang w:val="uk-UA"/>
              </w:rPr>
              <w:t>здирство, шантаж</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599E9C" w14:textId="77777777" w:rsidR="00E416CF" w:rsidRPr="00934A35" w:rsidRDefault="00E416CF">
            <w:pPr>
              <w:spacing w:after="0"/>
              <w:jc w:val="center"/>
              <w:rPr>
                <w:lang w:val="uk-UA"/>
              </w:rPr>
            </w:pPr>
            <w:r w:rsidRPr="00934A35">
              <w:rPr>
                <w:lang w:val="uk-UA"/>
              </w:rPr>
              <w:t>15</w:t>
            </w:r>
          </w:p>
        </w:tc>
      </w:tr>
      <w:tr w:rsidR="00934A35" w:rsidRPr="00934A35" w14:paraId="74551DC0" w14:textId="77777777" w:rsidTr="002E4454">
        <w:tc>
          <w:tcPr>
            <w:tcW w:w="7371" w:type="dxa"/>
            <w:tcBorders>
              <w:top w:val="single" w:sz="4" w:space="0" w:color="auto"/>
              <w:left w:val="single" w:sz="4" w:space="0" w:color="auto"/>
              <w:bottom w:val="single" w:sz="4" w:space="0" w:color="auto"/>
              <w:right w:val="single" w:sz="4" w:space="0" w:color="auto"/>
            </w:tcBorders>
            <w:vAlign w:val="center"/>
            <w:hideMark/>
          </w:tcPr>
          <w:p w14:paraId="0E034BA7" w14:textId="77777777" w:rsidR="00E416CF" w:rsidRPr="00934A35" w:rsidRDefault="00E416CF">
            <w:pPr>
              <w:spacing w:after="0"/>
              <w:jc w:val="left"/>
              <w:rPr>
                <w:shd w:val="clear" w:color="auto" w:fill="FFFFFF"/>
                <w:lang w:val="uk-UA"/>
              </w:rPr>
            </w:pPr>
            <w:proofErr w:type="spellStart"/>
            <w:r w:rsidRPr="00934A35">
              <w:rPr>
                <w:shd w:val="clear" w:color="auto" w:fill="FFFFFF"/>
                <w:lang w:val="uk-UA"/>
              </w:rPr>
              <w:t>гомофобія</w:t>
            </w:r>
            <w:proofErr w:type="spellEnd"/>
            <w:r w:rsidRPr="00934A35">
              <w:rPr>
                <w:shd w:val="clear" w:color="auto" w:fill="FFFFFF"/>
                <w:lang w:val="uk-UA"/>
              </w:rPr>
              <w:t xml:space="preserve"> в сім’ї</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79F267" w14:textId="77777777" w:rsidR="00E416CF" w:rsidRPr="00934A35" w:rsidRDefault="00E416CF">
            <w:pPr>
              <w:spacing w:after="0"/>
              <w:jc w:val="center"/>
              <w:rPr>
                <w:lang w:val="uk-UA"/>
              </w:rPr>
            </w:pPr>
            <w:r w:rsidRPr="00934A35">
              <w:rPr>
                <w:lang w:val="uk-UA"/>
              </w:rPr>
              <w:t>15</w:t>
            </w:r>
          </w:p>
        </w:tc>
      </w:tr>
      <w:tr w:rsidR="00934A35" w:rsidRPr="00934A35" w14:paraId="50BDC191" w14:textId="77777777" w:rsidTr="002E4454">
        <w:tc>
          <w:tcPr>
            <w:tcW w:w="7371" w:type="dxa"/>
            <w:tcBorders>
              <w:top w:val="single" w:sz="4" w:space="0" w:color="auto"/>
              <w:left w:val="single" w:sz="4" w:space="0" w:color="auto"/>
              <w:bottom w:val="single" w:sz="4" w:space="0" w:color="auto"/>
              <w:right w:val="single" w:sz="4" w:space="0" w:color="auto"/>
            </w:tcBorders>
            <w:vAlign w:val="center"/>
            <w:hideMark/>
          </w:tcPr>
          <w:p w14:paraId="006341C5" w14:textId="77777777" w:rsidR="00E416CF" w:rsidRPr="00934A35" w:rsidRDefault="00E416CF">
            <w:pPr>
              <w:spacing w:after="0"/>
              <w:jc w:val="left"/>
              <w:rPr>
                <w:lang w:val="uk-UA"/>
              </w:rPr>
            </w:pPr>
            <w:r w:rsidRPr="00934A35">
              <w:rPr>
                <w:lang w:val="uk-UA"/>
              </w:rPr>
              <w:t>незаконне збирання та розголошення конфіденційної інформації</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ADECF25" w14:textId="77777777" w:rsidR="00E416CF" w:rsidRPr="00934A35" w:rsidRDefault="00E416CF">
            <w:pPr>
              <w:spacing w:after="0"/>
              <w:jc w:val="center"/>
              <w:rPr>
                <w:lang w:val="uk-UA"/>
              </w:rPr>
            </w:pPr>
            <w:r w:rsidRPr="00934A35">
              <w:rPr>
                <w:lang w:val="uk-UA"/>
              </w:rPr>
              <w:t>13</w:t>
            </w:r>
          </w:p>
        </w:tc>
      </w:tr>
      <w:tr w:rsidR="00934A35" w:rsidRPr="00934A35" w14:paraId="3A417FBD" w14:textId="77777777" w:rsidTr="002E4454">
        <w:tc>
          <w:tcPr>
            <w:tcW w:w="7371" w:type="dxa"/>
            <w:tcBorders>
              <w:top w:val="single" w:sz="4" w:space="0" w:color="auto"/>
              <w:left w:val="single" w:sz="4" w:space="0" w:color="auto"/>
              <w:bottom w:val="single" w:sz="4" w:space="0" w:color="auto"/>
              <w:right w:val="single" w:sz="4" w:space="0" w:color="auto"/>
            </w:tcBorders>
            <w:vAlign w:val="center"/>
            <w:hideMark/>
          </w:tcPr>
          <w:p w14:paraId="1AB7BAF5" w14:textId="77777777" w:rsidR="00E416CF" w:rsidRPr="00934A35" w:rsidRDefault="00E416CF">
            <w:pPr>
              <w:spacing w:after="0"/>
              <w:jc w:val="left"/>
              <w:rPr>
                <w:lang w:val="uk-UA"/>
              </w:rPr>
            </w:pPr>
            <w:r w:rsidRPr="00934A35">
              <w:rPr>
                <w:lang w:val="uk-UA"/>
              </w:rPr>
              <w:t>грабіж</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8C1655" w14:textId="77777777" w:rsidR="00E416CF" w:rsidRPr="00934A35" w:rsidRDefault="00E416CF">
            <w:pPr>
              <w:spacing w:after="0"/>
              <w:jc w:val="center"/>
              <w:rPr>
                <w:lang w:val="uk-UA"/>
              </w:rPr>
            </w:pPr>
            <w:r w:rsidRPr="00934A35">
              <w:rPr>
                <w:lang w:val="uk-UA"/>
              </w:rPr>
              <w:t>10</w:t>
            </w:r>
          </w:p>
        </w:tc>
      </w:tr>
      <w:tr w:rsidR="00934A35" w:rsidRPr="00934A35" w14:paraId="4DD52A7E" w14:textId="77777777" w:rsidTr="002E4454">
        <w:tc>
          <w:tcPr>
            <w:tcW w:w="7371" w:type="dxa"/>
            <w:tcBorders>
              <w:top w:val="single" w:sz="4" w:space="0" w:color="auto"/>
              <w:left w:val="single" w:sz="4" w:space="0" w:color="auto"/>
              <w:bottom w:val="single" w:sz="4" w:space="0" w:color="auto"/>
              <w:right w:val="single" w:sz="4" w:space="0" w:color="auto"/>
            </w:tcBorders>
            <w:vAlign w:val="center"/>
            <w:hideMark/>
          </w:tcPr>
          <w:p w14:paraId="7DCE4CB9" w14:textId="77777777" w:rsidR="00E416CF" w:rsidRPr="00934A35" w:rsidRDefault="00E416CF">
            <w:pPr>
              <w:spacing w:after="0"/>
              <w:jc w:val="left"/>
              <w:rPr>
                <w:lang w:val="uk-UA"/>
              </w:rPr>
            </w:pPr>
            <w:r w:rsidRPr="00934A35">
              <w:rPr>
                <w:lang w:val="uk-UA"/>
              </w:rPr>
              <w:t>нанесення збитку майну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6257F4" w14:textId="77777777" w:rsidR="00E416CF" w:rsidRPr="00934A35" w:rsidRDefault="00E416CF">
            <w:pPr>
              <w:spacing w:after="0"/>
              <w:jc w:val="center"/>
              <w:rPr>
                <w:lang w:val="uk-UA"/>
              </w:rPr>
            </w:pPr>
            <w:r w:rsidRPr="00934A35">
              <w:rPr>
                <w:lang w:val="uk-UA"/>
              </w:rPr>
              <w:t>5</w:t>
            </w:r>
          </w:p>
        </w:tc>
      </w:tr>
      <w:tr w:rsidR="00934A35" w:rsidRPr="00934A35" w14:paraId="5B889D0F" w14:textId="77777777" w:rsidTr="002E4454">
        <w:tc>
          <w:tcPr>
            <w:tcW w:w="7371" w:type="dxa"/>
            <w:tcBorders>
              <w:top w:val="single" w:sz="4" w:space="0" w:color="auto"/>
              <w:left w:val="single" w:sz="4" w:space="0" w:color="auto"/>
              <w:bottom w:val="single" w:sz="4" w:space="0" w:color="auto"/>
              <w:right w:val="single" w:sz="4" w:space="0" w:color="auto"/>
            </w:tcBorders>
            <w:vAlign w:val="center"/>
            <w:hideMark/>
          </w:tcPr>
          <w:p w14:paraId="05CC118C" w14:textId="77777777" w:rsidR="00E416CF" w:rsidRPr="00934A35" w:rsidRDefault="00E416CF">
            <w:pPr>
              <w:spacing w:after="0"/>
              <w:jc w:val="left"/>
              <w:rPr>
                <w:lang w:val="uk-UA"/>
              </w:rPr>
            </w:pPr>
            <w:r w:rsidRPr="00934A35">
              <w:rPr>
                <w:lang w:val="uk-UA"/>
              </w:rPr>
              <w:t>перешкоджання мирним зборам</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C9DF4F" w14:textId="77777777" w:rsidR="00E416CF" w:rsidRPr="00934A35" w:rsidRDefault="00E416CF">
            <w:pPr>
              <w:spacing w:after="0"/>
              <w:jc w:val="center"/>
              <w:rPr>
                <w:lang w:val="uk-UA"/>
              </w:rPr>
            </w:pPr>
            <w:r w:rsidRPr="00934A35">
              <w:rPr>
                <w:lang w:val="uk-UA"/>
              </w:rPr>
              <w:t>4</w:t>
            </w:r>
          </w:p>
        </w:tc>
      </w:tr>
      <w:tr w:rsidR="00934A35" w:rsidRPr="00934A35" w14:paraId="03245CAF" w14:textId="77777777" w:rsidTr="002E4454">
        <w:tc>
          <w:tcPr>
            <w:tcW w:w="7371" w:type="dxa"/>
            <w:tcBorders>
              <w:top w:val="single" w:sz="4" w:space="0" w:color="auto"/>
              <w:left w:val="single" w:sz="4" w:space="0" w:color="auto"/>
              <w:bottom w:val="single" w:sz="4" w:space="0" w:color="auto"/>
              <w:right w:val="single" w:sz="4" w:space="0" w:color="auto"/>
            </w:tcBorders>
            <w:vAlign w:val="center"/>
            <w:hideMark/>
          </w:tcPr>
          <w:p w14:paraId="22FE2D9B" w14:textId="77777777" w:rsidR="00E416CF" w:rsidRPr="00934A35" w:rsidRDefault="00E416CF">
            <w:pPr>
              <w:spacing w:after="0"/>
              <w:jc w:val="left"/>
              <w:rPr>
                <w:lang w:val="uk-UA"/>
              </w:rPr>
            </w:pPr>
            <w:r w:rsidRPr="00934A35">
              <w:rPr>
                <w:lang w:val="uk-UA"/>
              </w:rPr>
              <w:t>тортури та нелюдське поводження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C285A7E" w14:textId="77777777" w:rsidR="00E416CF" w:rsidRPr="00934A35" w:rsidRDefault="00E416CF">
            <w:pPr>
              <w:spacing w:after="0"/>
              <w:jc w:val="center"/>
              <w:rPr>
                <w:lang w:val="uk-UA"/>
              </w:rPr>
            </w:pPr>
            <w:r w:rsidRPr="00934A35">
              <w:rPr>
                <w:lang w:val="uk-UA"/>
              </w:rPr>
              <w:t>1</w:t>
            </w:r>
          </w:p>
        </w:tc>
      </w:tr>
      <w:tr w:rsidR="00934A35" w:rsidRPr="00934A35" w14:paraId="268E50D9" w14:textId="77777777" w:rsidTr="002E4454">
        <w:tc>
          <w:tcPr>
            <w:tcW w:w="7371" w:type="dxa"/>
            <w:tcBorders>
              <w:top w:val="single" w:sz="4" w:space="0" w:color="auto"/>
              <w:left w:val="single" w:sz="4" w:space="0" w:color="auto"/>
              <w:bottom w:val="single" w:sz="4" w:space="0" w:color="auto"/>
              <w:right w:val="single" w:sz="4" w:space="0" w:color="auto"/>
            </w:tcBorders>
            <w:vAlign w:val="center"/>
            <w:hideMark/>
          </w:tcPr>
          <w:p w14:paraId="25044EF0" w14:textId="77777777" w:rsidR="00E416CF" w:rsidRPr="00934A35" w:rsidRDefault="00E416CF">
            <w:pPr>
              <w:spacing w:after="0"/>
              <w:jc w:val="left"/>
              <w:rPr>
                <w:lang w:val="uk-UA"/>
              </w:rPr>
            </w:pPr>
            <w:r w:rsidRPr="00934A35">
              <w:rPr>
                <w:lang w:val="uk-UA"/>
              </w:rPr>
              <w:t>сексуальне насильство та домагання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550ADB" w14:textId="77777777" w:rsidR="00E416CF" w:rsidRPr="00934A35" w:rsidRDefault="00E416CF">
            <w:pPr>
              <w:spacing w:after="0"/>
              <w:jc w:val="center"/>
              <w:rPr>
                <w:lang w:val="uk-UA"/>
              </w:rPr>
            </w:pPr>
            <w:r w:rsidRPr="00934A35">
              <w:rPr>
                <w:lang w:val="uk-UA"/>
              </w:rPr>
              <w:t>1</w:t>
            </w:r>
          </w:p>
        </w:tc>
      </w:tr>
      <w:tr w:rsidR="00934A35" w:rsidRPr="00934A35" w14:paraId="6E34D7EB" w14:textId="77777777" w:rsidTr="002E4454">
        <w:tc>
          <w:tcPr>
            <w:tcW w:w="7371" w:type="dxa"/>
            <w:tcBorders>
              <w:top w:val="single" w:sz="4" w:space="0" w:color="auto"/>
              <w:left w:val="single" w:sz="4" w:space="0" w:color="auto"/>
              <w:bottom w:val="single" w:sz="4" w:space="0" w:color="auto"/>
              <w:right w:val="single" w:sz="4" w:space="0" w:color="auto"/>
            </w:tcBorders>
            <w:vAlign w:val="center"/>
            <w:hideMark/>
          </w:tcPr>
          <w:p w14:paraId="3CC04DC7" w14:textId="77777777" w:rsidR="00E416CF" w:rsidRPr="00934A35" w:rsidRDefault="00E416CF">
            <w:pPr>
              <w:spacing w:after="0"/>
              <w:jc w:val="left"/>
              <w:rPr>
                <w:lang w:val="uk-UA"/>
              </w:rPr>
            </w:pPr>
            <w:r w:rsidRPr="00934A35">
              <w:rPr>
                <w:lang w:val="uk-UA"/>
              </w:rPr>
              <w:t>напади на ЛГБТ заходи та організації</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74A6EE" w14:textId="77777777" w:rsidR="00E416CF" w:rsidRPr="00934A35" w:rsidRDefault="00E416CF">
            <w:pPr>
              <w:spacing w:after="0"/>
              <w:jc w:val="center"/>
              <w:rPr>
                <w:lang w:val="uk-UA"/>
              </w:rPr>
            </w:pPr>
            <w:r w:rsidRPr="00934A35">
              <w:rPr>
                <w:lang w:val="uk-UA"/>
              </w:rPr>
              <w:t>1</w:t>
            </w:r>
          </w:p>
        </w:tc>
      </w:tr>
      <w:tr w:rsidR="00934A35" w:rsidRPr="00934A35" w14:paraId="2A56DE42" w14:textId="77777777" w:rsidTr="002E4454">
        <w:tc>
          <w:tcPr>
            <w:tcW w:w="7371" w:type="dxa"/>
            <w:tcBorders>
              <w:top w:val="single" w:sz="4" w:space="0" w:color="auto"/>
              <w:left w:val="single" w:sz="4" w:space="0" w:color="auto"/>
              <w:bottom w:val="single" w:sz="4" w:space="0" w:color="auto"/>
              <w:right w:val="single" w:sz="4" w:space="0" w:color="auto"/>
            </w:tcBorders>
            <w:vAlign w:val="center"/>
            <w:hideMark/>
          </w:tcPr>
          <w:p w14:paraId="7C4C3BF1" w14:textId="77777777" w:rsidR="00E416CF" w:rsidRPr="00934A35" w:rsidRDefault="00E416CF">
            <w:pPr>
              <w:spacing w:after="0"/>
              <w:jc w:val="left"/>
              <w:rPr>
                <w:lang w:val="uk-UA"/>
              </w:rPr>
            </w:pPr>
            <w:r w:rsidRPr="00934A35">
              <w:rPr>
                <w:lang w:val="uk-UA"/>
              </w:rPr>
              <w:t>розбій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3A48A35" w14:textId="77777777" w:rsidR="00E416CF" w:rsidRPr="00934A35" w:rsidRDefault="00E416CF">
            <w:pPr>
              <w:spacing w:after="0"/>
              <w:jc w:val="center"/>
              <w:rPr>
                <w:lang w:val="uk-UA"/>
              </w:rPr>
            </w:pPr>
            <w:r w:rsidRPr="00934A35">
              <w:rPr>
                <w:lang w:val="uk-UA"/>
              </w:rPr>
              <w:t>1</w:t>
            </w:r>
          </w:p>
        </w:tc>
      </w:tr>
      <w:tr w:rsidR="00934A35" w:rsidRPr="00934A35" w14:paraId="10DC94ED" w14:textId="77777777" w:rsidTr="002E4454">
        <w:tc>
          <w:tcPr>
            <w:tcW w:w="7371" w:type="dxa"/>
            <w:tcBorders>
              <w:top w:val="single" w:sz="4" w:space="0" w:color="auto"/>
              <w:left w:val="single" w:sz="4" w:space="0" w:color="auto"/>
              <w:bottom w:val="single" w:sz="4" w:space="0" w:color="auto"/>
              <w:right w:val="single" w:sz="4" w:space="0" w:color="auto"/>
            </w:tcBorders>
            <w:vAlign w:val="center"/>
            <w:hideMark/>
          </w:tcPr>
          <w:p w14:paraId="61995CFF" w14:textId="77777777" w:rsidR="00E416CF" w:rsidRPr="00934A35" w:rsidRDefault="00E416CF">
            <w:pPr>
              <w:spacing w:after="0"/>
              <w:jc w:val="left"/>
              <w:rPr>
                <w:lang w:val="uk-UA"/>
              </w:rPr>
            </w:pPr>
            <w:r w:rsidRPr="00934A35">
              <w:rPr>
                <w:lang w:val="uk-UA"/>
              </w:rPr>
              <w:t>викрадення людей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91865E" w14:textId="77777777" w:rsidR="00E416CF" w:rsidRPr="00934A35" w:rsidRDefault="00E416CF">
            <w:pPr>
              <w:spacing w:after="0"/>
              <w:jc w:val="center"/>
              <w:rPr>
                <w:lang w:val="uk-UA"/>
              </w:rPr>
            </w:pPr>
            <w:r w:rsidRPr="00934A35">
              <w:rPr>
                <w:lang w:val="uk-UA"/>
              </w:rPr>
              <w:t>1</w:t>
            </w:r>
          </w:p>
        </w:tc>
      </w:tr>
    </w:tbl>
    <w:p w14:paraId="7949F43A" w14:textId="2B79C718" w:rsidR="00E416CF" w:rsidRPr="00934A35" w:rsidRDefault="00EC6AA4" w:rsidP="00E416CF">
      <w:pPr>
        <w:spacing w:before="120"/>
        <w:contextualSpacing w:val="0"/>
        <w:rPr>
          <w:lang w:val="uk-UA"/>
        </w:rPr>
      </w:pPr>
      <w:r w:rsidRPr="00934A35">
        <w:rPr>
          <w:lang w:val="uk-UA"/>
        </w:rPr>
        <w:t>В</w:t>
      </w:r>
      <w:r w:rsidR="00E416CF" w:rsidRPr="00934A35">
        <w:rPr>
          <w:lang w:val="uk-UA"/>
        </w:rPr>
        <w:t xml:space="preserve">елика частка цих випадків супроводжується фізичним насильством різного ступеню тяжкості, а також погрозами і приниженням людської гідності. Також помітними є дії </w:t>
      </w:r>
      <w:proofErr w:type="spellStart"/>
      <w:r w:rsidR="00E416CF" w:rsidRPr="00934A35">
        <w:rPr>
          <w:lang w:val="uk-UA"/>
        </w:rPr>
        <w:t>гомофобних</w:t>
      </w:r>
      <w:proofErr w:type="spellEnd"/>
      <w:r w:rsidR="00E416CF" w:rsidRPr="00934A35">
        <w:rPr>
          <w:lang w:val="uk-UA"/>
        </w:rPr>
        <w:t xml:space="preserve"> угруповань – від ультраправих, які переважно нападають на ЛГБТ-заходи, до організованих груп, які декларують боротьбу з педофілією, а насправді займаються утисками та вимаганням грошей у </w:t>
      </w:r>
      <w:proofErr w:type="spellStart"/>
      <w:r w:rsidR="00E416CF" w:rsidRPr="00934A35">
        <w:rPr>
          <w:lang w:val="uk-UA"/>
        </w:rPr>
        <w:t>гомосексуалів</w:t>
      </w:r>
      <w:proofErr w:type="spellEnd"/>
      <w:r w:rsidR="00E416CF" w:rsidRPr="00934A35">
        <w:rPr>
          <w:lang w:val="uk-UA"/>
        </w:rPr>
        <w:t>, користуючись тім, що останні далеко не завжди заявляють про таки випадку в поліцію, а поліція не бажає притягати злочинців до відповідальності.</w:t>
      </w:r>
    </w:p>
    <w:p w14:paraId="252B54C0" w14:textId="3B6B372C" w:rsidR="00E416CF" w:rsidRDefault="00E416CF" w:rsidP="00E416CF">
      <w:pPr>
        <w:contextualSpacing w:val="0"/>
        <w:rPr>
          <w:lang w:val="en-US"/>
        </w:rPr>
      </w:pPr>
      <w:r w:rsidRPr="00934A35">
        <w:rPr>
          <w:lang w:val="uk-UA"/>
        </w:rPr>
        <w:lastRenderedPageBreak/>
        <w:t>На відміну від 2016 року, після Маршу рівності у Києві було значно більше повідомлень про напади на його учасників і учасниць, які сталися вже по закінченню заходу</w:t>
      </w:r>
      <w:r w:rsidR="00F332A7" w:rsidRPr="00934A35">
        <w:rPr>
          <w:lang w:val="en-US"/>
        </w:rPr>
        <w:t>,</w:t>
      </w:r>
      <w:r w:rsidRPr="00934A35">
        <w:rPr>
          <w:lang w:val="uk-UA"/>
        </w:rPr>
        <w:t xml:space="preserve"> поза зоною, яку контролювала поліція – тобто людей цілеспрямовано відстежували.</w:t>
      </w:r>
    </w:p>
    <w:p w14:paraId="0A5F1103" w14:textId="77777777" w:rsidR="00E416CF" w:rsidRPr="00934A35" w:rsidRDefault="00E416CF" w:rsidP="00E416CF">
      <w:pPr>
        <w:spacing w:before="240"/>
        <w:contextualSpacing w:val="0"/>
        <w:rPr>
          <w:b/>
          <w:lang w:val="uk-UA"/>
        </w:rPr>
      </w:pPr>
      <w:r w:rsidRPr="00934A35">
        <w:rPr>
          <w:b/>
          <w:lang w:val="uk-UA"/>
        </w:rPr>
        <w:t>Стосунки з правоохоронними органами</w:t>
      </w:r>
    </w:p>
    <w:p w14:paraId="7C1C4999" w14:textId="2CE6DC96" w:rsidR="00E416CF" w:rsidRDefault="00E416CF" w:rsidP="002E4454">
      <w:pPr>
        <w:spacing w:after="240"/>
        <w:contextualSpacing w:val="0"/>
        <w:rPr>
          <w:lang w:val="uk-UA"/>
        </w:rPr>
      </w:pPr>
      <w:r w:rsidRPr="00934A35">
        <w:rPr>
          <w:lang w:val="uk-UA"/>
        </w:rPr>
        <w:t>За сім місяців 2017 р</w:t>
      </w:r>
      <w:r w:rsidR="00EC6AA4" w:rsidRPr="00934A35">
        <w:rPr>
          <w:lang w:val="uk-UA"/>
        </w:rPr>
        <w:t>оку</w:t>
      </w:r>
      <w:r w:rsidRPr="00934A35">
        <w:rPr>
          <w:lang w:val="uk-UA"/>
        </w:rPr>
        <w:t xml:space="preserve"> було задокументовано 17 кейсів, які свідчать про факти порушень щодо ЛГБТ з боку правоохоронних органів</w:t>
      </w:r>
      <w:bookmarkStart w:id="1" w:name="_GoBack"/>
      <w:bookmarkEnd w:id="1"/>
      <w:r w:rsidRPr="00934A35">
        <w:rPr>
          <w:lang w:val="uk-UA"/>
        </w:rPr>
        <w:t xml:space="preserve"> (див. табл</w:t>
      </w:r>
      <w:r w:rsidR="00EC6AA4" w:rsidRPr="00934A35">
        <w:rPr>
          <w:lang w:val="uk-UA"/>
        </w:rPr>
        <w:t>ицю</w:t>
      </w:r>
      <w:r w:rsidRPr="00934A35">
        <w:rPr>
          <w:lang w:val="uk-UA"/>
        </w:rPr>
        <w:t xml:space="preserve"> 3).</w:t>
      </w:r>
    </w:p>
    <w:p w14:paraId="6440648C" w14:textId="77777777" w:rsidR="00E416CF" w:rsidRPr="00934A35" w:rsidRDefault="00E416CF" w:rsidP="00E416CF">
      <w:pPr>
        <w:rPr>
          <w:i/>
          <w:lang w:val="uk-UA"/>
        </w:rPr>
      </w:pPr>
      <w:r w:rsidRPr="00934A35">
        <w:rPr>
          <w:i/>
          <w:lang w:val="uk-UA"/>
        </w:rPr>
        <w:t>Таблиця 3</w:t>
      </w:r>
    </w:p>
    <w:tbl>
      <w:tblPr>
        <w:tblStyle w:val="a3"/>
        <w:tblW w:w="0" w:type="auto"/>
        <w:tblInd w:w="108" w:type="dxa"/>
        <w:tblLook w:val="04A0" w:firstRow="1" w:lastRow="0" w:firstColumn="1" w:lastColumn="0" w:noHBand="0" w:noVBand="1"/>
      </w:tblPr>
      <w:tblGrid>
        <w:gridCol w:w="7494"/>
        <w:gridCol w:w="1578"/>
      </w:tblGrid>
      <w:tr w:rsidR="00934A35" w:rsidRPr="00934A35" w14:paraId="286A64E5" w14:textId="77777777" w:rsidTr="002E4454">
        <w:tc>
          <w:tcPr>
            <w:tcW w:w="7494" w:type="dxa"/>
            <w:tcBorders>
              <w:top w:val="single" w:sz="4" w:space="0" w:color="auto"/>
              <w:left w:val="single" w:sz="4" w:space="0" w:color="auto"/>
              <w:bottom w:val="single" w:sz="4" w:space="0" w:color="auto"/>
              <w:right w:val="single" w:sz="4" w:space="0" w:color="auto"/>
            </w:tcBorders>
            <w:vAlign w:val="center"/>
            <w:hideMark/>
          </w:tcPr>
          <w:p w14:paraId="155E3357" w14:textId="77777777" w:rsidR="00E416CF" w:rsidRPr="00934A35" w:rsidRDefault="00E416CF">
            <w:pPr>
              <w:spacing w:after="0"/>
              <w:jc w:val="center"/>
              <w:rPr>
                <w:b/>
                <w:lang w:val="uk-UA"/>
              </w:rPr>
            </w:pPr>
            <w:r w:rsidRPr="00934A35">
              <w:rPr>
                <w:b/>
                <w:lang w:val="uk-UA"/>
              </w:rPr>
              <w:t>Порушені права (якими діями)</w:t>
            </w:r>
          </w:p>
        </w:tc>
        <w:tc>
          <w:tcPr>
            <w:tcW w:w="1578" w:type="dxa"/>
            <w:tcBorders>
              <w:top w:val="single" w:sz="4" w:space="0" w:color="auto"/>
              <w:left w:val="single" w:sz="4" w:space="0" w:color="auto"/>
              <w:bottom w:val="single" w:sz="4" w:space="0" w:color="auto"/>
              <w:right w:val="single" w:sz="4" w:space="0" w:color="auto"/>
            </w:tcBorders>
            <w:vAlign w:val="center"/>
            <w:hideMark/>
          </w:tcPr>
          <w:p w14:paraId="59E45A55" w14:textId="77777777" w:rsidR="00E416CF" w:rsidRPr="00934A35" w:rsidRDefault="00E416CF">
            <w:pPr>
              <w:spacing w:after="0"/>
              <w:jc w:val="center"/>
              <w:rPr>
                <w:b/>
                <w:lang w:val="uk-UA"/>
              </w:rPr>
            </w:pPr>
            <w:r w:rsidRPr="00934A35">
              <w:rPr>
                <w:b/>
                <w:lang w:val="uk-UA"/>
              </w:rPr>
              <w:t>Кількість</w:t>
            </w:r>
          </w:p>
        </w:tc>
      </w:tr>
      <w:tr w:rsidR="00934A35" w:rsidRPr="00934A35" w14:paraId="10CE3370" w14:textId="77777777" w:rsidTr="002E4454">
        <w:tc>
          <w:tcPr>
            <w:tcW w:w="7494" w:type="dxa"/>
            <w:tcBorders>
              <w:top w:val="single" w:sz="4" w:space="0" w:color="auto"/>
              <w:left w:val="single" w:sz="4" w:space="0" w:color="auto"/>
              <w:bottom w:val="single" w:sz="4" w:space="0" w:color="auto"/>
              <w:right w:val="single" w:sz="4" w:space="0" w:color="auto"/>
            </w:tcBorders>
            <w:vAlign w:val="center"/>
            <w:hideMark/>
          </w:tcPr>
          <w:p w14:paraId="14AD5BE4" w14:textId="77777777" w:rsidR="00E416CF" w:rsidRPr="00934A35" w:rsidRDefault="00E416CF">
            <w:pPr>
              <w:spacing w:after="0"/>
              <w:jc w:val="left"/>
              <w:rPr>
                <w:lang w:val="uk-UA"/>
              </w:rPr>
            </w:pPr>
            <w:r w:rsidRPr="00934A35">
              <w:rPr>
                <w:lang w:val="uk-UA"/>
              </w:rPr>
              <w:t>право на ефективні засоби правового захисту (відмова у захисті прав, неналежне виконання функцій по захисту прав, пособництво злочинцям)</w:t>
            </w:r>
          </w:p>
        </w:tc>
        <w:tc>
          <w:tcPr>
            <w:tcW w:w="1578" w:type="dxa"/>
            <w:tcBorders>
              <w:top w:val="single" w:sz="4" w:space="0" w:color="auto"/>
              <w:left w:val="single" w:sz="4" w:space="0" w:color="auto"/>
              <w:bottom w:val="single" w:sz="4" w:space="0" w:color="auto"/>
              <w:right w:val="single" w:sz="4" w:space="0" w:color="auto"/>
            </w:tcBorders>
            <w:vAlign w:val="center"/>
            <w:hideMark/>
          </w:tcPr>
          <w:p w14:paraId="59AB043B" w14:textId="77777777" w:rsidR="00E416CF" w:rsidRPr="00934A35" w:rsidRDefault="00E416CF">
            <w:pPr>
              <w:spacing w:after="0"/>
              <w:jc w:val="center"/>
              <w:rPr>
                <w:lang w:val="uk-UA"/>
              </w:rPr>
            </w:pPr>
            <w:r w:rsidRPr="00934A35">
              <w:rPr>
                <w:lang w:val="uk-UA"/>
              </w:rPr>
              <w:t>10</w:t>
            </w:r>
          </w:p>
        </w:tc>
      </w:tr>
      <w:tr w:rsidR="00934A35" w:rsidRPr="00934A35" w14:paraId="275BDC4B" w14:textId="77777777" w:rsidTr="002E4454">
        <w:tc>
          <w:tcPr>
            <w:tcW w:w="7494" w:type="dxa"/>
            <w:tcBorders>
              <w:top w:val="single" w:sz="4" w:space="0" w:color="auto"/>
              <w:left w:val="single" w:sz="4" w:space="0" w:color="auto"/>
              <w:bottom w:val="single" w:sz="4" w:space="0" w:color="auto"/>
              <w:right w:val="single" w:sz="4" w:space="0" w:color="auto"/>
            </w:tcBorders>
            <w:vAlign w:val="center"/>
            <w:hideMark/>
          </w:tcPr>
          <w:p w14:paraId="519807A8" w14:textId="77777777" w:rsidR="00E416CF" w:rsidRPr="00934A35" w:rsidRDefault="00E416CF">
            <w:pPr>
              <w:spacing w:after="0"/>
              <w:jc w:val="left"/>
              <w:rPr>
                <w:lang w:val="uk-UA"/>
              </w:rPr>
            </w:pPr>
            <w:r w:rsidRPr="00934A35">
              <w:rPr>
                <w:lang w:val="uk-UA"/>
              </w:rPr>
              <w:t>право на свободу та особисту недоторканність (порушення процесуальних норм, фізичне насильство, здирництво, перевищення влади та службових повноважень)</w:t>
            </w:r>
          </w:p>
        </w:tc>
        <w:tc>
          <w:tcPr>
            <w:tcW w:w="1578" w:type="dxa"/>
            <w:tcBorders>
              <w:top w:val="single" w:sz="4" w:space="0" w:color="auto"/>
              <w:left w:val="single" w:sz="4" w:space="0" w:color="auto"/>
              <w:bottom w:val="single" w:sz="4" w:space="0" w:color="auto"/>
              <w:right w:val="single" w:sz="4" w:space="0" w:color="auto"/>
            </w:tcBorders>
            <w:vAlign w:val="center"/>
            <w:hideMark/>
          </w:tcPr>
          <w:p w14:paraId="506AAC2B" w14:textId="77777777" w:rsidR="00E416CF" w:rsidRPr="00934A35" w:rsidRDefault="00E416CF">
            <w:pPr>
              <w:spacing w:after="0"/>
              <w:jc w:val="center"/>
              <w:rPr>
                <w:lang w:val="uk-UA"/>
              </w:rPr>
            </w:pPr>
            <w:r w:rsidRPr="00934A35">
              <w:rPr>
                <w:lang w:val="uk-UA"/>
              </w:rPr>
              <w:t>4</w:t>
            </w:r>
          </w:p>
        </w:tc>
      </w:tr>
      <w:tr w:rsidR="00934A35" w:rsidRPr="00934A35" w14:paraId="51ED6946" w14:textId="77777777" w:rsidTr="002E4454">
        <w:tc>
          <w:tcPr>
            <w:tcW w:w="7494" w:type="dxa"/>
            <w:tcBorders>
              <w:top w:val="single" w:sz="4" w:space="0" w:color="auto"/>
              <w:left w:val="single" w:sz="4" w:space="0" w:color="auto"/>
              <w:bottom w:val="single" w:sz="4" w:space="0" w:color="auto"/>
              <w:right w:val="single" w:sz="4" w:space="0" w:color="auto"/>
            </w:tcBorders>
            <w:vAlign w:val="center"/>
            <w:hideMark/>
          </w:tcPr>
          <w:p w14:paraId="0A1EE797" w14:textId="77777777" w:rsidR="00E416CF" w:rsidRPr="00934A35" w:rsidRDefault="00E416CF">
            <w:pPr>
              <w:spacing w:after="0"/>
              <w:jc w:val="left"/>
              <w:rPr>
                <w:lang w:val="uk-UA"/>
              </w:rPr>
            </w:pPr>
            <w:r w:rsidRPr="00934A35">
              <w:rPr>
                <w:lang w:val="uk-UA"/>
              </w:rPr>
              <w:t>свобода від дискримінації (образи і приниження людської гідності у зв’язку з сексуальною орієнтацією або ґендерною ідентичністю)</w:t>
            </w:r>
          </w:p>
        </w:tc>
        <w:tc>
          <w:tcPr>
            <w:tcW w:w="1578" w:type="dxa"/>
            <w:tcBorders>
              <w:top w:val="single" w:sz="4" w:space="0" w:color="auto"/>
              <w:left w:val="single" w:sz="4" w:space="0" w:color="auto"/>
              <w:bottom w:val="single" w:sz="4" w:space="0" w:color="auto"/>
              <w:right w:val="single" w:sz="4" w:space="0" w:color="auto"/>
            </w:tcBorders>
            <w:vAlign w:val="center"/>
            <w:hideMark/>
          </w:tcPr>
          <w:p w14:paraId="5EA74420" w14:textId="77777777" w:rsidR="00E416CF" w:rsidRPr="00934A35" w:rsidRDefault="00E416CF">
            <w:pPr>
              <w:spacing w:after="0"/>
              <w:jc w:val="center"/>
              <w:rPr>
                <w:lang w:val="uk-UA"/>
              </w:rPr>
            </w:pPr>
            <w:r w:rsidRPr="00934A35">
              <w:rPr>
                <w:lang w:val="uk-UA"/>
              </w:rPr>
              <w:t>4</w:t>
            </w:r>
          </w:p>
        </w:tc>
      </w:tr>
      <w:tr w:rsidR="00E416CF" w:rsidRPr="00934A35" w14:paraId="66B00DB5" w14:textId="77777777" w:rsidTr="002E4454">
        <w:tc>
          <w:tcPr>
            <w:tcW w:w="7494" w:type="dxa"/>
            <w:tcBorders>
              <w:top w:val="single" w:sz="4" w:space="0" w:color="auto"/>
              <w:left w:val="single" w:sz="4" w:space="0" w:color="auto"/>
              <w:bottom w:val="single" w:sz="4" w:space="0" w:color="auto"/>
              <w:right w:val="single" w:sz="4" w:space="0" w:color="auto"/>
            </w:tcBorders>
            <w:vAlign w:val="center"/>
            <w:hideMark/>
          </w:tcPr>
          <w:p w14:paraId="1BEC809E" w14:textId="77777777" w:rsidR="00E416CF" w:rsidRPr="00934A35" w:rsidRDefault="00E416CF">
            <w:pPr>
              <w:spacing w:after="0"/>
              <w:jc w:val="left"/>
              <w:rPr>
                <w:lang w:val="uk-UA"/>
              </w:rPr>
            </w:pPr>
            <w:r w:rsidRPr="00934A35">
              <w:rPr>
                <w:lang w:val="uk-UA"/>
              </w:rPr>
              <w:t>право на повагу до приватного життя (незаконний збір конфіденційної інформації та її поширення)</w:t>
            </w:r>
          </w:p>
        </w:tc>
        <w:tc>
          <w:tcPr>
            <w:tcW w:w="1578" w:type="dxa"/>
            <w:tcBorders>
              <w:top w:val="single" w:sz="4" w:space="0" w:color="auto"/>
              <w:left w:val="single" w:sz="4" w:space="0" w:color="auto"/>
              <w:bottom w:val="single" w:sz="4" w:space="0" w:color="auto"/>
              <w:right w:val="single" w:sz="4" w:space="0" w:color="auto"/>
            </w:tcBorders>
            <w:vAlign w:val="center"/>
            <w:hideMark/>
          </w:tcPr>
          <w:p w14:paraId="5B0EED3C" w14:textId="77777777" w:rsidR="00E416CF" w:rsidRPr="00934A35" w:rsidRDefault="00E416CF">
            <w:pPr>
              <w:spacing w:after="0"/>
              <w:jc w:val="center"/>
              <w:rPr>
                <w:lang w:val="uk-UA"/>
              </w:rPr>
            </w:pPr>
            <w:r w:rsidRPr="00934A35">
              <w:rPr>
                <w:lang w:val="uk-UA"/>
              </w:rPr>
              <w:t>4</w:t>
            </w:r>
          </w:p>
        </w:tc>
      </w:tr>
    </w:tbl>
    <w:p w14:paraId="0B0ABCB6" w14:textId="77777777" w:rsidR="00E416CF" w:rsidRPr="00934A35" w:rsidRDefault="00E416CF" w:rsidP="00E416CF">
      <w:pPr>
        <w:spacing w:after="0"/>
        <w:rPr>
          <w:lang w:val="uk-UA"/>
        </w:rPr>
      </w:pPr>
    </w:p>
    <w:p w14:paraId="35F6516F" w14:textId="282EB72A" w:rsidR="00E416CF" w:rsidRPr="00934A35" w:rsidRDefault="00E416CF" w:rsidP="00E416CF">
      <w:pPr>
        <w:contextualSpacing w:val="0"/>
        <w:rPr>
          <w:lang w:val="uk-UA"/>
        </w:rPr>
      </w:pPr>
      <w:r w:rsidRPr="00934A35">
        <w:rPr>
          <w:lang w:val="uk-UA"/>
        </w:rPr>
        <w:t>Як і у 2016 р</w:t>
      </w:r>
      <w:r w:rsidR="00EC6AA4" w:rsidRPr="00934A35">
        <w:rPr>
          <w:lang w:val="uk-UA"/>
        </w:rPr>
        <w:t>оці,</w:t>
      </w:r>
      <w:r w:rsidRPr="00934A35">
        <w:rPr>
          <w:lang w:val="uk-UA"/>
        </w:rPr>
        <w:t xml:space="preserve"> одним з поширених видів порушень з боку правоохоронних органів щодо ЛГБТ залишається відмова у захисті прав та неналежне виконання своїх службових обов’язків. Такі випадки, на нашу думку, обумовлені насамперед </w:t>
      </w:r>
      <w:proofErr w:type="spellStart"/>
      <w:r w:rsidRPr="00934A35">
        <w:rPr>
          <w:lang w:val="uk-UA"/>
        </w:rPr>
        <w:t>гомофобією</w:t>
      </w:r>
      <w:proofErr w:type="spellEnd"/>
      <w:r w:rsidRPr="00934A35">
        <w:rPr>
          <w:lang w:val="uk-UA"/>
        </w:rPr>
        <w:t xml:space="preserve"> з боку працівників поліції, які перейшли до неї з лав старої міліції, та відсутністю експліцитного згадування СОҐІ як захищених ознак у кримінальному законодавстві України.</w:t>
      </w:r>
    </w:p>
    <w:p w14:paraId="459ED575" w14:textId="63E37061" w:rsidR="00E416CF" w:rsidRPr="00934A35" w:rsidRDefault="00E416CF" w:rsidP="00E416CF">
      <w:pPr>
        <w:contextualSpacing w:val="0"/>
        <w:rPr>
          <w:lang w:val="uk-UA"/>
        </w:rPr>
      </w:pPr>
      <w:r w:rsidRPr="00934A35">
        <w:rPr>
          <w:lang w:val="uk-UA"/>
        </w:rPr>
        <w:t>Так</w:t>
      </w:r>
      <w:r w:rsidR="00EC6AA4" w:rsidRPr="00934A35">
        <w:rPr>
          <w:lang w:val="uk-UA"/>
        </w:rPr>
        <w:t>,</w:t>
      </w:r>
      <w:r w:rsidRPr="00934A35">
        <w:rPr>
          <w:lang w:val="uk-UA"/>
        </w:rPr>
        <w:t xml:space="preserve"> у березні цього року патрульна поліція м</w:t>
      </w:r>
      <w:r w:rsidR="00EC6AA4" w:rsidRPr="00934A35">
        <w:rPr>
          <w:lang w:val="uk-UA"/>
        </w:rPr>
        <w:t>іста</w:t>
      </w:r>
      <w:r w:rsidRPr="00934A35">
        <w:rPr>
          <w:lang w:val="uk-UA"/>
        </w:rPr>
        <w:t xml:space="preserve"> Києва затримала банду грабіжників, які напали на гей-пару та завдали їм тяжких тілесних ушкоджень. Разом з тим, оперативні працівники Дніпровського </w:t>
      </w:r>
      <w:proofErr w:type="spellStart"/>
      <w:r w:rsidRPr="00934A35">
        <w:rPr>
          <w:lang w:val="uk-UA"/>
        </w:rPr>
        <w:t>райвідділку</w:t>
      </w:r>
      <w:proofErr w:type="spellEnd"/>
      <w:r w:rsidRPr="00934A35">
        <w:rPr>
          <w:lang w:val="uk-UA"/>
        </w:rPr>
        <w:t xml:space="preserve">, які прибули в лікарню для опитування постраждалих, вдалися до </w:t>
      </w:r>
      <w:proofErr w:type="spellStart"/>
      <w:r w:rsidRPr="00934A35">
        <w:rPr>
          <w:lang w:val="uk-UA"/>
        </w:rPr>
        <w:t>гомофобних</w:t>
      </w:r>
      <w:proofErr w:type="spellEnd"/>
      <w:r w:rsidRPr="00934A35">
        <w:rPr>
          <w:lang w:val="uk-UA"/>
        </w:rPr>
        <w:t xml:space="preserve"> образ у присутності сторонніх осіб, тим самим порушив</w:t>
      </w:r>
      <w:r w:rsidR="00EC6AA4" w:rsidRPr="00934A35">
        <w:rPr>
          <w:lang w:val="uk-UA"/>
        </w:rPr>
        <w:t>ши</w:t>
      </w:r>
      <w:r w:rsidRPr="00934A35">
        <w:rPr>
          <w:lang w:val="uk-UA"/>
        </w:rPr>
        <w:t xml:space="preserve"> право </w:t>
      </w:r>
      <w:r w:rsidR="00EC6AA4" w:rsidRPr="00934A35">
        <w:rPr>
          <w:lang w:val="uk-UA"/>
        </w:rPr>
        <w:t>постраждалих</w:t>
      </w:r>
      <w:r w:rsidRPr="00934A35">
        <w:rPr>
          <w:lang w:val="uk-UA"/>
        </w:rPr>
        <w:t xml:space="preserve"> на </w:t>
      </w:r>
      <w:proofErr w:type="spellStart"/>
      <w:r w:rsidRPr="00934A35">
        <w:rPr>
          <w:lang w:val="uk-UA"/>
        </w:rPr>
        <w:t>приватність</w:t>
      </w:r>
      <w:proofErr w:type="spellEnd"/>
      <w:r w:rsidRPr="00934A35">
        <w:rPr>
          <w:lang w:val="uk-UA"/>
        </w:rPr>
        <w:t xml:space="preserve">. Слідчий того же </w:t>
      </w:r>
      <w:proofErr w:type="spellStart"/>
      <w:r w:rsidRPr="00934A35">
        <w:rPr>
          <w:lang w:val="uk-UA"/>
        </w:rPr>
        <w:t>райвідділку</w:t>
      </w:r>
      <w:proofErr w:type="spellEnd"/>
      <w:r w:rsidRPr="00934A35">
        <w:rPr>
          <w:lang w:val="uk-UA"/>
        </w:rPr>
        <w:t xml:space="preserve"> поліції відмовив адвокату постраждалих у врахуванні </w:t>
      </w:r>
      <w:proofErr w:type="spellStart"/>
      <w:r w:rsidRPr="00934A35">
        <w:rPr>
          <w:lang w:val="uk-UA"/>
        </w:rPr>
        <w:t>гомофобного</w:t>
      </w:r>
      <w:proofErr w:type="spellEnd"/>
      <w:r w:rsidRPr="00934A35">
        <w:rPr>
          <w:lang w:val="uk-UA"/>
        </w:rPr>
        <w:t xml:space="preserve"> мотиву, яким керувалися нападники. Після спілкування працівників Центру «Наш світ» з керівництвом Головного слідчого управління </w:t>
      </w:r>
      <w:proofErr w:type="spellStart"/>
      <w:r w:rsidRPr="00934A35">
        <w:rPr>
          <w:lang w:val="uk-UA"/>
        </w:rPr>
        <w:t>Нацполіції</w:t>
      </w:r>
      <w:proofErr w:type="spellEnd"/>
      <w:r w:rsidRPr="00934A35">
        <w:rPr>
          <w:lang w:val="uk-UA"/>
        </w:rPr>
        <w:t>, справу було передано слідчому Головного управління поліції у м</w:t>
      </w:r>
      <w:r w:rsidR="00EC6AA4" w:rsidRPr="00934A35">
        <w:rPr>
          <w:lang w:val="uk-UA"/>
        </w:rPr>
        <w:t>істі</w:t>
      </w:r>
      <w:r w:rsidRPr="00934A35">
        <w:rPr>
          <w:lang w:val="uk-UA"/>
        </w:rPr>
        <w:t xml:space="preserve"> Києві для всебічного розслідування </w:t>
      </w:r>
      <w:proofErr w:type="spellStart"/>
      <w:r w:rsidRPr="00934A35">
        <w:rPr>
          <w:lang w:val="uk-UA"/>
        </w:rPr>
        <w:t>гомофобного</w:t>
      </w:r>
      <w:proofErr w:type="spellEnd"/>
      <w:r w:rsidRPr="00934A35">
        <w:rPr>
          <w:lang w:val="uk-UA"/>
        </w:rPr>
        <w:t xml:space="preserve"> мотиву злочину, але він також не побажав його враховувати, не</w:t>
      </w:r>
      <w:r w:rsidR="00EC6AA4" w:rsidRPr="00934A35">
        <w:rPr>
          <w:lang w:val="uk-UA"/>
        </w:rPr>
        <w:t xml:space="preserve"> </w:t>
      </w:r>
      <w:r w:rsidRPr="00934A35">
        <w:rPr>
          <w:lang w:val="uk-UA"/>
        </w:rPr>
        <w:t>зважаючи не тільки на показання потерпілих, але й на свідчення самих порушників і офіцерів, які проводили затримання. Всі необхідні процесуальні дії адвоката потерпілих, які були спрямовані на те, щоби примусити слідчого ретельно провести розслідування</w:t>
      </w:r>
      <w:r w:rsidR="00EC6AA4" w:rsidRPr="00934A35">
        <w:rPr>
          <w:lang w:val="uk-UA"/>
        </w:rPr>
        <w:t xml:space="preserve"> </w:t>
      </w:r>
      <w:r w:rsidRPr="00934A35">
        <w:rPr>
          <w:lang w:val="uk-UA"/>
        </w:rPr>
        <w:t>ні до чого не при</w:t>
      </w:r>
      <w:r w:rsidR="00EC6AA4" w:rsidRPr="00934A35">
        <w:rPr>
          <w:lang w:val="uk-UA"/>
        </w:rPr>
        <w:t>з</w:t>
      </w:r>
      <w:r w:rsidRPr="00934A35">
        <w:rPr>
          <w:lang w:val="uk-UA"/>
        </w:rPr>
        <w:t>вели</w:t>
      </w:r>
      <w:r w:rsidR="00EC6AA4" w:rsidRPr="00934A35">
        <w:rPr>
          <w:lang w:val="uk-UA"/>
        </w:rPr>
        <w:t>,</w:t>
      </w:r>
      <w:r w:rsidRPr="00934A35">
        <w:rPr>
          <w:lang w:val="uk-UA"/>
        </w:rPr>
        <w:t xml:space="preserve"> і справа була передана до суду за статтею «Розбій».</w:t>
      </w:r>
    </w:p>
    <w:p w14:paraId="62CF825A" w14:textId="77777777" w:rsidR="00EC6AA4" w:rsidRPr="00934A35" w:rsidRDefault="00EC6AA4" w:rsidP="00E416CF">
      <w:pPr>
        <w:contextualSpacing w:val="0"/>
        <w:rPr>
          <w:lang w:val="uk-UA"/>
        </w:rPr>
      </w:pPr>
    </w:p>
    <w:p w14:paraId="4FBCD79B" w14:textId="247D82CE" w:rsidR="00E416CF" w:rsidRPr="00934A35" w:rsidRDefault="00E416CF" w:rsidP="00E416CF">
      <w:pPr>
        <w:contextualSpacing w:val="0"/>
        <w:rPr>
          <w:lang w:val="uk-UA"/>
        </w:rPr>
      </w:pPr>
      <w:r w:rsidRPr="00934A35">
        <w:rPr>
          <w:lang w:val="uk-UA"/>
        </w:rPr>
        <w:t xml:space="preserve">Порушення </w:t>
      </w:r>
      <w:r w:rsidRPr="00934A35">
        <w:rPr>
          <w:b/>
          <w:lang w:val="uk-UA"/>
        </w:rPr>
        <w:t>права на справедливий суд</w:t>
      </w:r>
      <w:r w:rsidRPr="00934A35">
        <w:rPr>
          <w:lang w:val="uk-UA"/>
        </w:rPr>
        <w:t xml:space="preserve"> було зафіксовано під час слухання справи про відбирання дитини у матері-лесбійки за позовом її колишнього чоловіка у </w:t>
      </w:r>
      <w:proofErr w:type="spellStart"/>
      <w:r w:rsidRPr="00934A35">
        <w:rPr>
          <w:lang w:val="uk-UA"/>
        </w:rPr>
        <w:t>Краснопільському</w:t>
      </w:r>
      <w:proofErr w:type="spellEnd"/>
      <w:r w:rsidRPr="00934A35">
        <w:rPr>
          <w:lang w:val="uk-UA"/>
        </w:rPr>
        <w:t xml:space="preserve"> райсуді Сумської област</w:t>
      </w:r>
      <w:r w:rsidR="00EC6AA4" w:rsidRPr="00934A35">
        <w:rPr>
          <w:lang w:val="uk-UA"/>
        </w:rPr>
        <w:t>і</w:t>
      </w:r>
      <w:r w:rsidRPr="00934A35">
        <w:rPr>
          <w:lang w:val="uk-UA"/>
        </w:rPr>
        <w:t xml:space="preserve"> взимку 2017 р</w:t>
      </w:r>
      <w:r w:rsidR="00EC6AA4" w:rsidRPr="00934A35">
        <w:rPr>
          <w:lang w:val="uk-UA"/>
        </w:rPr>
        <w:t>оку.</w:t>
      </w:r>
      <w:r w:rsidRPr="00934A35">
        <w:rPr>
          <w:lang w:val="uk-UA"/>
        </w:rPr>
        <w:t xml:space="preserve"> Як свідчить </w:t>
      </w:r>
      <w:proofErr w:type="spellStart"/>
      <w:r w:rsidRPr="00934A35">
        <w:rPr>
          <w:lang w:val="uk-UA"/>
        </w:rPr>
        <w:t>аудіозапис</w:t>
      </w:r>
      <w:proofErr w:type="spellEnd"/>
      <w:r w:rsidRPr="00934A35">
        <w:rPr>
          <w:lang w:val="uk-UA"/>
        </w:rPr>
        <w:t xml:space="preserve"> засідань, суддя була налаштована упереджено до матері саме через її сексуальну орієнтацію</w:t>
      </w:r>
      <w:r w:rsidR="00EC6AA4" w:rsidRPr="00934A35">
        <w:rPr>
          <w:lang w:val="uk-UA"/>
        </w:rPr>
        <w:t>,</w:t>
      </w:r>
      <w:r w:rsidRPr="00934A35">
        <w:rPr>
          <w:lang w:val="uk-UA"/>
        </w:rPr>
        <w:t xml:space="preserve"> і, якби не втручання юриста Центру «Наш світ», справу, скоріше </w:t>
      </w:r>
      <w:r w:rsidR="00EC6AA4" w:rsidRPr="00934A35">
        <w:rPr>
          <w:lang w:val="uk-UA"/>
        </w:rPr>
        <w:t xml:space="preserve">за </w:t>
      </w:r>
      <w:r w:rsidRPr="00934A35">
        <w:rPr>
          <w:lang w:val="uk-UA"/>
        </w:rPr>
        <w:t>вс</w:t>
      </w:r>
      <w:r w:rsidR="00EC6AA4" w:rsidRPr="00934A35">
        <w:rPr>
          <w:lang w:val="uk-UA"/>
        </w:rPr>
        <w:t>е,</w:t>
      </w:r>
      <w:r w:rsidRPr="00934A35">
        <w:rPr>
          <w:lang w:val="uk-UA"/>
        </w:rPr>
        <w:t xml:space="preserve"> було би вирішено на користь позивача. </w:t>
      </w:r>
      <w:r w:rsidR="00EC6AA4" w:rsidRPr="00934A35">
        <w:rPr>
          <w:lang w:val="uk-UA"/>
        </w:rPr>
        <w:t>Однак,</w:t>
      </w:r>
      <w:r w:rsidRPr="00934A35">
        <w:rPr>
          <w:lang w:val="uk-UA"/>
        </w:rPr>
        <w:t xml:space="preserve"> аргументи</w:t>
      </w:r>
      <w:r w:rsidR="00EC6AA4" w:rsidRPr="00934A35">
        <w:rPr>
          <w:lang w:val="uk-UA"/>
        </w:rPr>
        <w:t>,</w:t>
      </w:r>
      <w:r w:rsidRPr="00934A35">
        <w:rPr>
          <w:lang w:val="uk-UA"/>
        </w:rPr>
        <w:t xml:space="preserve"> наведені захисником</w:t>
      </w:r>
      <w:r w:rsidR="00EC6AA4" w:rsidRPr="00934A35">
        <w:rPr>
          <w:lang w:val="uk-UA"/>
        </w:rPr>
        <w:t>,</w:t>
      </w:r>
      <w:r w:rsidRPr="00934A35">
        <w:rPr>
          <w:lang w:val="uk-UA"/>
        </w:rPr>
        <w:t xml:space="preserve"> переконали суддю залишити дитину з матір'ю, а шлюб розірвати.</w:t>
      </w:r>
    </w:p>
    <w:p w14:paraId="41E90DAF" w14:textId="0D67BC58" w:rsidR="00E416CF" w:rsidRPr="00934A35" w:rsidRDefault="00E416CF" w:rsidP="00E416CF">
      <w:pPr>
        <w:contextualSpacing w:val="0"/>
        <w:rPr>
          <w:lang w:val="uk-UA"/>
        </w:rPr>
      </w:pPr>
      <w:r w:rsidRPr="00934A35">
        <w:rPr>
          <w:lang w:val="uk-UA"/>
        </w:rPr>
        <w:t xml:space="preserve">У </w:t>
      </w:r>
      <w:r w:rsidRPr="00934A35">
        <w:rPr>
          <w:b/>
          <w:lang w:val="uk-UA"/>
        </w:rPr>
        <w:t>сфері</w:t>
      </w:r>
      <w:r w:rsidRPr="00934A35">
        <w:rPr>
          <w:lang w:val="uk-UA"/>
        </w:rPr>
        <w:t xml:space="preserve"> </w:t>
      </w:r>
      <w:r w:rsidR="00693245" w:rsidRPr="00934A35">
        <w:rPr>
          <w:b/>
          <w:lang w:val="uk-UA"/>
        </w:rPr>
        <w:t>зайнятості</w:t>
      </w:r>
      <w:r w:rsidR="00693245" w:rsidRPr="00934A35">
        <w:rPr>
          <w:lang w:val="uk-UA"/>
        </w:rPr>
        <w:t xml:space="preserve"> </w:t>
      </w:r>
      <w:r w:rsidRPr="00934A35">
        <w:rPr>
          <w:lang w:val="uk-UA"/>
        </w:rPr>
        <w:t>було зафіксовано 11 випадків дискримінації через ознаки СОҐІ (див. табл</w:t>
      </w:r>
      <w:r w:rsidR="00693245" w:rsidRPr="00934A35">
        <w:rPr>
          <w:lang w:val="uk-UA"/>
        </w:rPr>
        <w:t>ицю</w:t>
      </w:r>
      <w:r w:rsidRPr="00934A35">
        <w:rPr>
          <w:lang w:val="uk-UA"/>
        </w:rPr>
        <w:t xml:space="preserve"> 4).</w:t>
      </w:r>
    </w:p>
    <w:p w14:paraId="0FC0ECAA" w14:textId="77777777" w:rsidR="002E4454" w:rsidRDefault="002E4454">
      <w:pPr>
        <w:spacing w:after="160" w:line="259" w:lineRule="auto"/>
        <w:contextualSpacing w:val="0"/>
        <w:jc w:val="left"/>
        <w:rPr>
          <w:i/>
          <w:lang w:val="uk-UA"/>
        </w:rPr>
      </w:pPr>
      <w:r>
        <w:rPr>
          <w:i/>
          <w:lang w:val="uk-UA"/>
        </w:rPr>
        <w:br w:type="page"/>
      </w:r>
    </w:p>
    <w:p w14:paraId="24BEC047" w14:textId="33E2681D" w:rsidR="00E416CF" w:rsidRPr="00934A35" w:rsidRDefault="00E416CF" w:rsidP="00E416CF">
      <w:pPr>
        <w:rPr>
          <w:i/>
          <w:lang w:val="uk-UA"/>
        </w:rPr>
      </w:pPr>
      <w:r w:rsidRPr="00934A35">
        <w:rPr>
          <w:i/>
          <w:lang w:val="uk-UA"/>
        </w:rPr>
        <w:lastRenderedPageBreak/>
        <w:t>Таблиця 4</w:t>
      </w:r>
    </w:p>
    <w:tbl>
      <w:tblPr>
        <w:tblStyle w:val="a3"/>
        <w:tblW w:w="0" w:type="auto"/>
        <w:tblInd w:w="108" w:type="dxa"/>
        <w:tblLook w:val="04A0" w:firstRow="1" w:lastRow="0" w:firstColumn="1" w:lastColumn="0" w:noHBand="0" w:noVBand="1"/>
      </w:tblPr>
      <w:tblGrid>
        <w:gridCol w:w="7230"/>
        <w:gridCol w:w="1684"/>
      </w:tblGrid>
      <w:tr w:rsidR="00934A35" w:rsidRPr="00934A35" w14:paraId="7AAD48D2" w14:textId="77777777" w:rsidTr="002E4454">
        <w:tc>
          <w:tcPr>
            <w:tcW w:w="7230" w:type="dxa"/>
            <w:tcBorders>
              <w:top w:val="single" w:sz="4" w:space="0" w:color="auto"/>
              <w:left w:val="single" w:sz="4" w:space="0" w:color="auto"/>
              <w:bottom w:val="single" w:sz="4" w:space="0" w:color="auto"/>
              <w:right w:val="single" w:sz="4" w:space="0" w:color="auto"/>
            </w:tcBorders>
            <w:hideMark/>
          </w:tcPr>
          <w:p w14:paraId="44E32521" w14:textId="77777777" w:rsidR="00E416CF" w:rsidRPr="00934A35" w:rsidRDefault="00E416CF">
            <w:pPr>
              <w:jc w:val="center"/>
              <w:rPr>
                <w:b/>
                <w:lang w:val="uk-UA"/>
              </w:rPr>
            </w:pPr>
            <w:r w:rsidRPr="00934A35">
              <w:rPr>
                <w:b/>
                <w:lang w:val="uk-UA"/>
              </w:rPr>
              <w:t>Види порушень</w:t>
            </w:r>
          </w:p>
        </w:tc>
        <w:tc>
          <w:tcPr>
            <w:tcW w:w="1684" w:type="dxa"/>
            <w:tcBorders>
              <w:top w:val="single" w:sz="4" w:space="0" w:color="auto"/>
              <w:left w:val="single" w:sz="4" w:space="0" w:color="auto"/>
              <w:bottom w:val="single" w:sz="4" w:space="0" w:color="auto"/>
              <w:right w:val="single" w:sz="4" w:space="0" w:color="auto"/>
            </w:tcBorders>
            <w:hideMark/>
          </w:tcPr>
          <w:p w14:paraId="59144BD0" w14:textId="77777777" w:rsidR="00E416CF" w:rsidRPr="00934A35" w:rsidRDefault="00E416CF">
            <w:pPr>
              <w:jc w:val="center"/>
              <w:rPr>
                <w:b/>
                <w:lang w:val="uk-UA"/>
              </w:rPr>
            </w:pPr>
            <w:r w:rsidRPr="00934A35">
              <w:rPr>
                <w:b/>
                <w:lang w:val="uk-UA"/>
              </w:rPr>
              <w:t>Кількість</w:t>
            </w:r>
          </w:p>
        </w:tc>
      </w:tr>
      <w:tr w:rsidR="00934A35" w:rsidRPr="00934A35" w14:paraId="107E6573" w14:textId="77777777" w:rsidTr="002E4454">
        <w:tc>
          <w:tcPr>
            <w:tcW w:w="7230" w:type="dxa"/>
            <w:tcBorders>
              <w:top w:val="single" w:sz="4" w:space="0" w:color="auto"/>
              <w:left w:val="single" w:sz="4" w:space="0" w:color="auto"/>
              <w:bottom w:val="single" w:sz="4" w:space="0" w:color="auto"/>
              <w:right w:val="single" w:sz="4" w:space="0" w:color="auto"/>
            </w:tcBorders>
            <w:hideMark/>
          </w:tcPr>
          <w:p w14:paraId="64CF8D75" w14:textId="77777777" w:rsidR="00E416CF" w:rsidRPr="00934A35" w:rsidRDefault="00E416CF">
            <w:pPr>
              <w:rPr>
                <w:lang w:val="uk-UA"/>
              </w:rPr>
            </w:pPr>
            <w:r w:rsidRPr="00934A35">
              <w:rPr>
                <w:lang w:val="uk-UA"/>
              </w:rPr>
              <w:t>утиски з боку колег</w:t>
            </w:r>
          </w:p>
        </w:tc>
        <w:tc>
          <w:tcPr>
            <w:tcW w:w="1684" w:type="dxa"/>
            <w:tcBorders>
              <w:top w:val="single" w:sz="4" w:space="0" w:color="auto"/>
              <w:left w:val="single" w:sz="4" w:space="0" w:color="auto"/>
              <w:bottom w:val="single" w:sz="4" w:space="0" w:color="auto"/>
              <w:right w:val="single" w:sz="4" w:space="0" w:color="auto"/>
            </w:tcBorders>
            <w:hideMark/>
          </w:tcPr>
          <w:p w14:paraId="0972B45F" w14:textId="77777777" w:rsidR="00E416CF" w:rsidRPr="00934A35" w:rsidRDefault="00E416CF">
            <w:pPr>
              <w:jc w:val="center"/>
              <w:rPr>
                <w:lang w:val="uk-UA"/>
              </w:rPr>
            </w:pPr>
            <w:r w:rsidRPr="00934A35">
              <w:rPr>
                <w:lang w:val="uk-UA"/>
              </w:rPr>
              <w:t>4</w:t>
            </w:r>
          </w:p>
        </w:tc>
      </w:tr>
      <w:tr w:rsidR="00934A35" w:rsidRPr="00934A35" w14:paraId="703E86C9" w14:textId="77777777" w:rsidTr="002E4454">
        <w:tc>
          <w:tcPr>
            <w:tcW w:w="7230" w:type="dxa"/>
            <w:tcBorders>
              <w:top w:val="single" w:sz="4" w:space="0" w:color="auto"/>
              <w:left w:val="single" w:sz="4" w:space="0" w:color="auto"/>
              <w:bottom w:val="single" w:sz="4" w:space="0" w:color="auto"/>
              <w:right w:val="single" w:sz="4" w:space="0" w:color="auto"/>
            </w:tcBorders>
            <w:hideMark/>
          </w:tcPr>
          <w:p w14:paraId="5C06A473" w14:textId="77777777" w:rsidR="00E416CF" w:rsidRPr="00934A35" w:rsidRDefault="00E416CF">
            <w:pPr>
              <w:rPr>
                <w:lang w:val="uk-UA"/>
              </w:rPr>
            </w:pPr>
            <w:r w:rsidRPr="00934A35">
              <w:rPr>
                <w:lang w:val="uk-UA"/>
              </w:rPr>
              <w:t>незаконна відмова в прийомі на роботу</w:t>
            </w:r>
          </w:p>
        </w:tc>
        <w:tc>
          <w:tcPr>
            <w:tcW w:w="1684" w:type="dxa"/>
            <w:tcBorders>
              <w:top w:val="single" w:sz="4" w:space="0" w:color="auto"/>
              <w:left w:val="single" w:sz="4" w:space="0" w:color="auto"/>
              <w:bottom w:val="single" w:sz="4" w:space="0" w:color="auto"/>
              <w:right w:val="single" w:sz="4" w:space="0" w:color="auto"/>
            </w:tcBorders>
            <w:hideMark/>
          </w:tcPr>
          <w:p w14:paraId="05DFA80C" w14:textId="77777777" w:rsidR="00E416CF" w:rsidRPr="00934A35" w:rsidRDefault="00E416CF">
            <w:pPr>
              <w:jc w:val="center"/>
              <w:rPr>
                <w:lang w:val="uk-UA"/>
              </w:rPr>
            </w:pPr>
            <w:r w:rsidRPr="00934A35">
              <w:rPr>
                <w:lang w:val="uk-UA"/>
              </w:rPr>
              <w:t>3</w:t>
            </w:r>
          </w:p>
        </w:tc>
      </w:tr>
      <w:tr w:rsidR="00934A35" w:rsidRPr="00934A35" w14:paraId="30BAAFF1" w14:textId="77777777" w:rsidTr="002E4454">
        <w:tc>
          <w:tcPr>
            <w:tcW w:w="7230" w:type="dxa"/>
            <w:tcBorders>
              <w:top w:val="single" w:sz="4" w:space="0" w:color="auto"/>
              <w:left w:val="single" w:sz="4" w:space="0" w:color="auto"/>
              <w:bottom w:val="single" w:sz="4" w:space="0" w:color="auto"/>
              <w:right w:val="single" w:sz="4" w:space="0" w:color="auto"/>
            </w:tcBorders>
            <w:hideMark/>
          </w:tcPr>
          <w:p w14:paraId="29C5B03A" w14:textId="77777777" w:rsidR="00E416CF" w:rsidRPr="00934A35" w:rsidRDefault="00E416CF">
            <w:pPr>
              <w:rPr>
                <w:lang w:val="uk-UA"/>
              </w:rPr>
            </w:pPr>
            <w:r w:rsidRPr="00934A35">
              <w:rPr>
                <w:lang w:val="uk-UA"/>
              </w:rPr>
              <w:t>образи, погрози, приниження людської гідності</w:t>
            </w:r>
          </w:p>
        </w:tc>
        <w:tc>
          <w:tcPr>
            <w:tcW w:w="1684" w:type="dxa"/>
            <w:tcBorders>
              <w:top w:val="single" w:sz="4" w:space="0" w:color="auto"/>
              <w:left w:val="single" w:sz="4" w:space="0" w:color="auto"/>
              <w:bottom w:val="single" w:sz="4" w:space="0" w:color="auto"/>
              <w:right w:val="single" w:sz="4" w:space="0" w:color="auto"/>
            </w:tcBorders>
            <w:hideMark/>
          </w:tcPr>
          <w:p w14:paraId="2006676E" w14:textId="77777777" w:rsidR="00E416CF" w:rsidRPr="00934A35" w:rsidRDefault="00E416CF">
            <w:pPr>
              <w:jc w:val="center"/>
              <w:rPr>
                <w:lang w:val="uk-UA"/>
              </w:rPr>
            </w:pPr>
            <w:r w:rsidRPr="00934A35">
              <w:rPr>
                <w:lang w:val="uk-UA"/>
              </w:rPr>
              <w:t>3</w:t>
            </w:r>
          </w:p>
        </w:tc>
      </w:tr>
      <w:tr w:rsidR="00934A35" w:rsidRPr="00934A35" w14:paraId="4F57A9FB" w14:textId="77777777" w:rsidTr="002E4454">
        <w:tc>
          <w:tcPr>
            <w:tcW w:w="7230" w:type="dxa"/>
            <w:tcBorders>
              <w:top w:val="single" w:sz="4" w:space="0" w:color="auto"/>
              <w:left w:val="single" w:sz="4" w:space="0" w:color="auto"/>
              <w:bottom w:val="single" w:sz="4" w:space="0" w:color="auto"/>
              <w:right w:val="single" w:sz="4" w:space="0" w:color="auto"/>
            </w:tcBorders>
            <w:hideMark/>
          </w:tcPr>
          <w:p w14:paraId="04FC873F" w14:textId="77777777" w:rsidR="00E416CF" w:rsidRPr="00934A35" w:rsidRDefault="00E416CF">
            <w:pPr>
              <w:rPr>
                <w:lang w:val="uk-UA"/>
              </w:rPr>
            </w:pPr>
            <w:r w:rsidRPr="00934A35">
              <w:rPr>
                <w:lang w:val="uk-UA"/>
              </w:rPr>
              <w:t>незаконне звільнення</w:t>
            </w:r>
          </w:p>
        </w:tc>
        <w:tc>
          <w:tcPr>
            <w:tcW w:w="1684" w:type="dxa"/>
            <w:tcBorders>
              <w:top w:val="single" w:sz="4" w:space="0" w:color="auto"/>
              <w:left w:val="single" w:sz="4" w:space="0" w:color="auto"/>
              <w:bottom w:val="single" w:sz="4" w:space="0" w:color="auto"/>
              <w:right w:val="single" w:sz="4" w:space="0" w:color="auto"/>
            </w:tcBorders>
            <w:hideMark/>
          </w:tcPr>
          <w:p w14:paraId="66DD356E" w14:textId="77777777" w:rsidR="00E416CF" w:rsidRPr="00934A35" w:rsidRDefault="00E416CF">
            <w:pPr>
              <w:jc w:val="center"/>
              <w:rPr>
                <w:lang w:val="uk-UA"/>
              </w:rPr>
            </w:pPr>
            <w:r w:rsidRPr="00934A35">
              <w:rPr>
                <w:lang w:val="uk-UA"/>
              </w:rPr>
              <w:t>2</w:t>
            </w:r>
          </w:p>
        </w:tc>
      </w:tr>
      <w:tr w:rsidR="00934A35" w:rsidRPr="00934A35" w14:paraId="03FA8997" w14:textId="77777777" w:rsidTr="002E4454">
        <w:tc>
          <w:tcPr>
            <w:tcW w:w="7230" w:type="dxa"/>
            <w:tcBorders>
              <w:top w:val="single" w:sz="4" w:space="0" w:color="auto"/>
              <w:left w:val="single" w:sz="4" w:space="0" w:color="auto"/>
              <w:bottom w:val="single" w:sz="4" w:space="0" w:color="auto"/>
              <w:right w:val="single" w:sz="4" w:space="0" w:color="auto"/>
            </w:tcBorders>
            <w:hideMark/>
          </w:tcPr>
          <w:p w14:paraId="7120E709" w14:textId="77777777" w:rsidR="00E416CF" w:rsidRPr="00934A35" w:rsidRDefault="00E416CF">
            <w:pPr>
              <w:rPr>
                <w:lang w:val="uk-UA"/>
              </w:rPr>
            </w:pPr>
            <w:r w:rsidRPr="00934A35">
              <w:rPr>
                <w:lang w:val="uk-UA"/>
              </w:rPr>
              <w:t>фізичне насильство різних ступенів тяжкості</w:t>
            </w:r>
          </w:p>
        </w:tc>
        <w:tc>
          <w:tcPr>
            <w:tcW w:w="1684" w:type="dxa"/>
            <w:tcBorders>
              <w:top w:val="single" w:sz="4" w:space="0" w:color="auto"/>
              <w:left w:val="single" w:sz="4" w:space="0" w:color="auto"/>
              <w:bottom w:val="single" w:sz="4" w:space="0" w:color="auto"/>
              <w:right w:val="single" w:sz="4" w:space="0" w:color="auto"/>
            </w:tcBorders>
            <w:hideMark/>
          </w:tcPr>
          <w:p w14:paraId="164C30D8" w14:textId="77777777" w:rsidR="00E416CF" w:rsidRPr="00934A35" w:rsidRDefault="00E416CF">
            <w:pPr>
              <w:jc w:val="center"/>
              <w:rPr>
                <w:lang w:val="uk-UA"/>
              </w:rPr>
            </w:pPr>
            <w:r w:rsidRPr="00934A35">
              <w:rPr>
                <w:lang w:val="uk-UA"/>
              </w:rPr>
              <w:t>2</w:t>
            </w:r>
          </w:p>
        </w:tc>
      </w:tr>
      <w:tr w:rsidR="00934A35" w:rsidRPr="00934A35" w14:paraId="6274CA02" w14:textId="77777777" w:rsidTr="002E4454">
        <w:tc>
          <w:tcPr>
            <w:tcW w:w="7230" w:type="dxa"/>
            <w:tcBorders>
              <w:top w:val="single" w:sz="4" w:space="0" w:color="auto"/>
              <w:left w:val="single" w:sz="4" w:space="0" w:color="auto"/>
              <w:bottom w:val="single" w:sz="4" w:space="0" w:color="auto"/>
              <w:right w:val="single" w:sz="4" w:space="0" w:color="auto"/>
            </w:tcBorders>
            <w:hideMark/>
          </w:tcPr>
          <w:p w14:paraId="3D7D2565" w14:textId="77777777" w:rsidR="00E416CF" w:rsidRPr="00934A35" w:rsidRDefault="00E416CF">
            <w:pPr>
              <w:rPr>
                <w:lang w:val="uk-UA"/>
              </w:rPr>
            </w:pPr>
            <w:r w:rsidRPr="00934A35">
              <w:rPr>
                <w:lang w:val="uk-UA"/>
              </w:rPr>
              <w:t>бездіяльність адміністрації</w:t>
            </w:r>
          </w:p>
        </w:tc>
        <w:tc>
          <w:tcPr>
            <w:tcW w:w="1684" w:type="dxa"/>
            <w:tcBorders>
              <w:top w:val="single" w:sz="4" w:space="0" w:color="auto"/>
              <w:left w:val="single" w:sz="4" w:space="0" w:color="auto"/>
              <w:bottom w:val="single" w:sz="4" w:space="0" w:color="auto"/>
              <w:right w:val="single" w:sz="4" w:space="0" w:color="auto"/>
            </w:tcBorders>
            <w:hideMark/>
          </w:tcPr>
          <w:p w14:paraId="05106EBC" w14:textId="77777777" w:rsidR="00E416CF" w:rsidRPr="00934A35" w:rsidRDefault="00E416CF">
            <w:pPr>
              <w:jc w:val="center"/>
              <w:rPr>
                <w:lang w:val="uk-UA"/>
              </w:rPr>
            </w:pPr>
            <w:r w:rsidRPr="00934A35">
              <w:rPr>
                <w:lang w:val="uk-UA"/>
              </w:rPr>
              <w:t>1</w:t>
            </w:r>
          </w:p>
        </w:tc>
      </w:tr>
      <w:tr w:rsidR="00934A35" w:rsidRPr="00934A35" w14:paraId="7DDCE8A1" w14:textId="77777777" w:rsidTr="002E4454">
        <w:tc>
          <w:tcPr>
            <w:tcW w:w="7230" w:type="dxa"/>
            <w:tcBorders>
              <w:top w:val="single" w:sz="4" w:space="0" w:color="auto"/>
              <w:left w:val="single" w:sz="4" w:space="0" w:color="auto"/>
              <w:bottom w:val="single" w:sz="4" w:space="0" w:color="auto"/>
              <w:right w:val="single" w:sz="4" w:space="0" w:color="auto"/>
            </w:tcBorders>
            <w:hideMark/>
          </w:tcPr>
          <w:p w14:paraId="357692E8" w14:textId="77777777" w:rsidR="00E416CF" w:rsidRPr="00934A35" w:rsidRDefault="00E416CF">
            <w:pPr>
              <w:rPr>
                <w:lang w:val="uk-UA"/>
              </w:rPr>
            </w:pPr>
            <w:r w:rsidRPr="00934A35">
              <w:rPr>
                <w:lang w:val="uk-UA"/>
              </w:rPr>
              <w:t>примушення до звільнення «за власним бажанням»</w:t>
            </w:r>
          </w:p>
        </w:tc>
        <w:tc>
          <w:tcPr>
            <w:tcW w:w="1684" w:type="dxa"/>
            <w:tcBorders>
              <w:top w:val="single" w:sz="4" w:space="0" w:color="auto"/>
              <w:left w:val="single" w:sz="4" w:space="0" w:color="auto"/>
              <w:bottom w:val="single" w:sz="4" w:space="0" w:color="auto"/>
              <w:right w:val="single" w:sz="4" w:space="0" w:color="auto"/>
            </w:tcBorders>
            <w:hideMark/>
          </w:tcPr>
          <w:p w14:paraId="20EEA281" w14:textId="77777777" w:rsidR="00E416CF" w:rsidRPr="00934A35" w:rsidRDefault="00E416CF">
            <w:pPr>
              <w:jc w:val="center"/>
              <w:rPr>
                <w:lang w:val="uk-UA"/>
              </w:rPr>
            </w:pPr>
            <w:r w:rsidRPr="00934A35">
              <w:rPr>
                <w:lang w:val="uk-UA"/>
              </w:rPr>
              <w:t>1</w:t>
            </w:r>
          </w:p>
        </w:tc>
      </w:tr>
      <w:tr w:rsidR="00E416CF" w:rsidRPr="00934A35" w14:paraId="1316B013" w14:textId="77777777" w:rsidTr="002E4454">
        <w:tc>
          <w:tcPr>
            <w:tcW w:w="7230" w:type="dxa"/>
            <w:tcBorders>
              <w:top w:val="single" w:sz="4" w:space="0" w:color="auto"/>
              <w:left w:val="single" w:sz="4" w:space="0" w:color="auto"/>
              <w:bottom w:val="single" w:sz="4" w:space="0" w:color="auto"/>
              <w:right w:val="single" w:sz="4" w:space="0" w:color="auto"/>
            </w:tcBorders>
            <w:hideMark/>
          </w:tcPr>
          <w:p w14:paraId="1ED56A6B" w14:textId="77777777" w:rsidR="00E416CF" w:rsidRPr="00934A35" w:rsidRDefault="00E416CF">
            <w:pPr>
              <w:rPr>
                <w:lang w:val="uk-UA"/>
              </w:rPr>
            </w:pPr>
            <w:r w:rsidRPr="00934A35">
              <w:rPr>
                <w:lang w:val="uk-UA"/>
              </w:rPr>
              <w:t>сексуальні домагання з боку начальника</w:t>
            </w:r>
          </w:p>
        </w:tc>
        <w:tc>
          <w:tcPr>
            <w:tcW w:w="1684" w:type="dxa"/>
            <w:tcBorders>
              <w:top w:val="single" w:sz="4" w:space="0" w:color="auto"/>
              <w:left w:val="single" w:sz="4" w:space="0" w:color="auto"/>
              <w:bottom w:val="single" w:sz="4" w:space="0" w:color="auto"/>
              <w:right w:val="single" w:sz="4" w:space="0" w:color="auto"/>
            </w:tcBorders>
            <w:hideMark/>
          </w:tcPr>
          <w:p w14:paraId="7C603D25" w14:textId="77777777" w:rsidR="00E416CF" w:rsidRPr="00934A35" w:rsidRDefault="00E416CF">
            <w:pPr>
              <w:jc w:val="center"/>
              <w:rPr>
                <w:lang w:val="uk-UA"/>
              </w:rPr>
            </w:pPr>
            <w:r w:rsidRPr="00934A35">
              <w:rPr>
                <w:lang w:val="uk-UA"/>
              </w:rPr>
              <w:t>1</w:t>
            </w:r>
          </w:p>
        </w:tc>
      </w:tr>
    </w:tbl>
    <w:p w14:paraId="686D97A6" w14:textId="77777777" w:rsidR="00E416CF" w:rsidRPr="00934A35" w:rsidRDefault="00E416CF" w:rsidP="00E416CF">
      <w:pPr>
        <w:rPr>
          <w:lang w:val="uk-UA"/>
        </w:rPr>
      </w:pPr>
    </w:p>
    <w:p w14:paraId="4F5FB7D6" w14:textId="60561E26" w:rsidR="00E416CF" w:rsidRPr="00934A35" w:rsidRDefault="00E416CF" w:rsidP="00E416CF">
      <w:pPr>
        <w:contextualSpacing w:val="0"/>
        <w:rPr>
          <w:lang w:val="uk-UA"/>
        </w:rPr>
      </w:pPr>
      <w:r w:rsidRPr="00934A35">
        <w:rPr>
          <w:lang w:val="uk-UA"/>
        </w:rPr>
        <w:t xml:space="preserve">Один із драматичних кейсів в цієї сфері стався з </w:t>
      </w:r>
      <w:proofErr w:type="spellStart"/>
      <w:r w:rsidRPr="00934A35">
        <w:rPr>
          <w:lang w:val="uk-UA"/>
        </w:rPr>
        <w:t>транс</w:t>
      </w:r>
      <w:r w:rsidR="00EC6AA4" w:rsidRPr="00934A35">
        <w:rPr>
          <w:lang w:val="uk-UA"/>
        </w:rPr>
        <w:t>ґ</w:t>
      </w:r>
      <w:r w:rsidRPr="00934A35">
        <w:rPr>
          <w:lang w:val="uk-UA"/>
        </w:rPr>
        <w:t>ендерною</w:t>
      </w:r>
      <w:proofErr w:type="spellEnd"/>
      <w:r w:rsidRPr="00934A35">
        <w:rPr>
          <w:lang w:val="uk-UA"/>
        </w:rPr>
        <w:t xml:space="preserve"> жінкою, яку через її зовнішність було звільнено з посади кондуктора у Трамвайно-тролейбусному депо № 2 м</w:t>
      </w:r>
      <w:r w:rsidR="00EC6AA4" w:rsidRPr="00934A35">
        <w:rPr>
          <w:lang w:val="uk-UA"/>
        </w:rPr>
        <w:t>іста</w:t>
      </w:r>
      <w:r w:rsidRPr="00934A35">
        <w:rPr>
          <w:lang w:val="uk-UA"/>
        </w:rPr>
        <w:t xml:space="preserve"> Харкова. Крім цього</w:t>
      </w:r>
      <w:r w:rsidR="00EC6AA4" w:rsidRPr="00934A35">
        <w:rPr>
          <w:lang w:val="uk-UA"/>
        </w:rPr>
        <w:t>,</w:t>
      </w:r>
      <w:r w:rsidRPr="00934A35">
        <w:rPr>
          <w:lang w:val="uk-UA"/>
        </w:rPr>
        <w:t xml:space="preserve"> вона неодноразово отримувала відмови при подальших спробах працевлаштування в різних місцях, що дуже негативно сказалося на її матеріальному становищі.</w:t>
      </w:r>
    </w:p>
    <w:p w14:paraId="261C623D" w14:textId="77777777" w:rsidR="00E416CF" w:rsidRPr="00934A35" w:rsidRDefault="00E416CF" w:rsidP="00E416CF">
      <w:pPr>
        <w:contextualSpacing w:val="0"/>
        <w:rPr>
          <w:lang w:val="uk-UA"/>
        </w:rPr>
      </w:pPr>
    </w:p>
    <w:p w14:paraId="29F17B4E" w14:textId="77777777" w:rsidR="00E416CF" w:rsidRPr="00934A35" w:rsidRDefault="00E416CF" w:rsidP="00E416CF">
      <w:pPr>
        <w:contextualSpacing w:val="0"/>
        <w:rPr>
          <w:lang w:val="uk-UA"/>
        </w:rPr>
      </w:pPr>
      <w:r w:rsidRPr="00934A35">
        <w:rPr>
          <w:lang w:val="uk-UA"/>
        </w:rPr>
        <w:t xml:space="preserve">У </w:t>
      </w:r>
      <w:r w:rsidRPr="00934A35">
        <w:rPr>
          <w:b/>
          <w:lang w:val="uk-UA"/>
        </w:rPr>
        <w:t>сфері освіти</w:t>
      </w:r>
      <w:r w:rsidRPr="00934A35">
        <w:rPr>
          <w:lang w:val="uk-UA"/>
        </w:rPr>
        <w:t xml:space="preserve"> було зафіксовано 6 випадків дискримінації які полягали в образах, погрозах, приниженні людської гідності (4), фізичному насильстві різних ступенів тяжкості (2), цькуванні з боку однолітків (4), втручанні у приватне життя (1).</w:t>
      </w:r>
    </w:p>
    <w:p w14:paraId="3F7935F1" w14:textId="546963D5" w:rsidR="00E416CF" w:rsidRPr="00934A35" w:rsidRDefault="00E416CF" w:rsidP="00E416CF">
      <w:pPr>
        <w:contextualSpacing w:val="0"/>
        <w:rPr>
          <w:lang w:val="uk-UA"/>
        </w:rPr>
      </w:pPr>
      <w:r w:rsidRPr="00934A35">
        <w:rPr>
          <w:lang w:val="uk-UA"/>
        </w:rPr>
        <w:t xml:space="preserve">У </w:t>
      </w:r>
      <w:r w:rsidRPr="00934A35">
        <w:rPr>
          <w:b/>
          <w:lang w:val="uk-UA"/>
        </w:rPr>
        <w:t>медичній сфері</w:t>
      </w:r>
      <w:r w:rsidRPr="00934A35">
        <w:rPr>
          <w:lang w:val="uk-UA"/>
        </w:rPr>
        <w:t xml:space="preserve"> був зафіксований один випадок порушення прав пацієнта чер</w:t>
      </w:r>
      <w:r w:rsidR="00693245" w:rsidRPr="00934A35">
        <w:rPr>
          <w:lang w:val="uk-UA"/>
        </w:rPr>
        <w:t>ез його сексуальну орієнтацію (в</w:t>
      </w:r>
      <w:r w:rsidRPr="00934A35">
        <w:rPr>
          <w:lang w:val="uk-UA"/>
        </w:rPr>
        <w:t xml:space="preserve"> Одесі), який полягав у спробах примусовог</w:t>
      </w:r>
      <w:r w:rsidR="00693245" w:rsidRPr="00934A35">
        <w:rPr>
          <w:lang w:val="uk-UA"/>
        </w:rPr>
        <w:t>о «лікування від гомосексуалізму</w:t>
      </w:r>
      <w:r w:rsidRPr="00934A35">
        <w:rPr>
          <w:lang w:val="uk-UA"/>
        </w:rPr>
        <w:t xml:space="preserve">» </w:t>
      </w:r>
      <w:proofErr w:type="spellStart"/>
      <w:r w:rsidRPr="00934A35">
        <w:rPr>
          <w:lang w:val="uk-UA"/>
        </w:rPr>
        <w:t>підлітка</w:t>
      </w:r>
      <w:proofErr w:type="spellEnd"/>
      <w:r w:rsidRPr="00934A35">
        <w:rPr>
          <w:lang w:val="uk-UA"/>
        </w:rPr>
        <w:t xml:space="preserve"> у психолога (за замовою батьків), в </w:t>
      </w:r>
      <w:proofErr w:type="spellStart"/>
      <w:r w:rsidRPr="00934A35">
        <w:rPr>
          <w:lang w:val="uk-UA"/>
        </w:rPr>
        <w:t>т.ч</w:t>
      </w:r>
      <w:proofErr w:type="spellEnd"/>
      <w:r w:rsidRPr="00934A35">
        <w:rPr>
          <w:lang w:val="uk-UA"/>
        </w:rPr>
        <w:t>. з застосуванням хімічних препаратів.</w:t>
      </w:r>
    </w:p>
    <w:p w14:paraId="1CA793D7" w14:textId="10CBA3C9" w:rsidR="00E416CF" w:rsidRPr="00934A35" w:rsidRDefault="00E416CF" w:rsidP="00E416CF">
      <w:pPr>
        <w:contextualSpacing w:val="0"/>
        <w:rPr>
          <w:lang w:val="uk-UA"/>
        </w:rPr>
      </w:pPr>
      <w:r w:rsidRPr="00934A35">
        <w:rPr>
          <w:lang w:val="uk-UA"/>
        </w:rPr>
        <w:t xml:space="preserve">У </w:t>
      </w:r>
      <w:r w:rsidRPr="00934A35">
        <w:rPr>
          <w:b/>
          <w:lang w:val="uk-UA"/>
        </w:rPr>
        <w:t>сфері споживання</w:t>
      </w:r>
      <w:r w:rsidRPr="00934A35">
        <w:rPr>
          <w:lang w:val="uk-UA"/>
        </w:rPr>
        <w:t xml:space="preserve"> дискримінаційне поводження з ЛГБТ спостерігалося у 2 випадках, </w:t>
      </w:r>
      <w:r w:rsidR="00693245" w:rsidRPr="00934A35">
        <w:rPr>
          <w:lang w:val="uk-UA"/>
        </w:rPr>
        <w:t xml:space="preserve">і полягало у </w:t>
      </w:r>
      <w:proofErr w:type="spellStart"/>
      <w:r w:rsidRPr="00934A35">
        <w:rPr>
          <w:lang w:val="uk-UA"/>
        </w:rPr>
        <w:t>гомофобн</w:t>
      </w:r>
      <w:r w:rsidR="00693245" w:rsidRPr="00934A35">
        <w:rPr>
          <w:lang w:val="uk-UA"/>
        </w:rPr>
        <w:t>ому</w:t>
      </w:r>
      <w:proofErr w:type="spellEnd"/>
      <w:r w:rsidRPr="00934A35">
        <w:rPr>
          <w:lang w:val="uk-UA"/>
        </w:rPr>
        <w:t xml:space="preserve"> ставленн</w:t>
      </w:r>
      <w:r w:rsidR="00693245" w:rsidRPr="00934A35">
        <w:rPr>
          <w:lang w:val="uk-UA"/>
        </w:rPr>
        <w:t>і</w:t>
      </w:r>
      <w:r w:rsidRPr="00934A35">
        <w:rPr>
          <w:lang w:val="uk-UA"/>
        </w:rPr>
        <w:t xml:space="preserve"> з боку обслуговуючого персоналу та орендодавців приміщень для ЛГБТ заходів.</w:t>
      </w:r>
    </w:p>
    <w:p w14:paraId="5D232735" w14:textId="77777777" w:rsidR="0060196F" w:rsidRPr="00934A35" w:rsidRDefault="0060196F" w:rsidP="0060196F">
      <w:pPr>
        <w:spacing w:after="0"/>
        <w:contextualSpacing w:val="0"/>
        <w:rPr>
          <w:lang w:val="uk-UA"/>
        </w:rPr>
      </w:pPr>
    </w:p>
    <w:p w14:paraId="2B6AFE24" w14:textId="77777777" w:rsidR="00017A20" w:rsidRPr="00934A35" w:rsidRDefault="00017A20" w:rsidP="006841AC">
      <w:pPr>
        <w:contextualSpacing w:val="0"/>
        <w:rPr>
          <w:lang w:val="uk-UA"/>
        </w:rPr>
      </w:pPr>
    </w:p>
    <w:p w14:paraId="39E2BBB2" w14:textId="792B5CCC" w:rsidR="00B664AE" w:rsidRDefault="00017A20" w:rsidP="002E4454">
      <w:pPr>
        <w:contextualSpacing w:val="0"/>
        <w:jc w:val="right"/>
        <w:rPr>
          <w:i/>
          <w:lang w:val="uk-UA"/>
        </w:rPr>
      </w:pPr>
      <w:r w:rsidRPr="00934A35">
        <w:rPr>
          <w:i/>
          <w:lang w:val="uk-UA"/>
        </w:rPr>
        <w:t xml:space="preserve">Версія від </w:t>
      </w:r>
      <w:r w:rsidR="00EC6AA4" w:rsidRPr="00934A35">
        <w:rPr>
          <w:i/>
          <w:lang w:val="uk-UA"/>
        </w:rPr>
        <w:t>01</w:t>
      </w:r>
      <w:r w:rsidR="000617B2" w:rsidRPr="00934A35">
        <w:rPr>
          <w:i/>
          <w:lang w:val="uk-UA"/>
        </w:rPr>
        <w:t>.0</w:t>
      </w:r>
      <w:r w:rsidR="00EC6AA4" w:rsidRPr="00934A35">
        <w:rPr>
          <w:i/>
          <w:lang w:val="uk-UA"/>
        </w:rPr>
        <w:t>9</w:t>
      </w:r>
      <w:r w:rsidR="000617B2" w:rsidRPr="00934A35">
        <w:rPr>
          <w:i/>
          <w:lang w:val="uk-UA"/>
        </w:rPr>
        <w:t>.201</w:t>
      </w:r>
      <w:r w:rsidR="003421C2" w:rsidRPr="00934A35">
        <w:rPr>
          <w:i/>
          <w:lang w:val="uk-UA"/>
        </w:rPr>
        <w:t>7</w:t>
      </w:r>
    </w:p>
    <w:p w14:paraId="47728E58" w14:textId="77777777" w:rsidR="00D20AEB" w:rsidRPr="00D20AEB" w:rsidRDefault="00D20AEB" w:rsidP="00B664AE">
      <w:pPr>
        <w:contextualSpacing w:val="0"/>
        <w:rPr>
          <w:lang w:val="uk-UA"/>
        </w:rPr>
      </w:pPr>
    </w:p>
    <w:p w14:paraId="0BC8C2FD" w14:textId="031493B1" w:rsidR="00D20AEB" w:rsidRPr="00D20AEB" w:rsidRDefault="00D20AEB" w:rsidP="00B664AE">
      <w:pPr>
        <w:contextualSpacing w:val="0"/>
        <w:rPr>
          <w:lang w:val="uk-UA"/>
        </w:rPr>
      </w:pPr>
      <w:r>
        <w:rPr>
          <w:rFonts w:cstheme="minorHAnsi"/>
          <w:lang w:val="uk-UA"/>
        </w:rPr>
        <w:t>©</w:t>
      </w:r>
      <w:r>
        <w:rPr>
          <w:lang w:val="uk-UA"/>
        </w:rPr>
        <w:t xml:space="preserve"> Центр «Наш світ», 2017</w:t>
      </w:r>
    </w:p>
    <w:sectPr w:rsidR="00D20AEB" w:rsidRPr="00D20AEB" w:rsidSect="002E4454">
      <w:headerReference w:type="default" r:id="rId12"/>
      <w:footerReference w:type="defaul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5A7EB" w14:textId="77777777" w:rsidR="005C31DC" w:rsidRDefault="005C31DC" w:rsidP="00370878">
      <w:pPr>
        <w:spacing w:after="0"/>
      </w:pPr>
      <w:r>
        <w:separator/>
      </w:r>
    </w:p>
  </w:endnote>
  <w:endnote w:type="continuationSeparator" w:id="0">
    <w:p w14:paraId="6FC86B63" w14:textId="77777777" w:rsidR="005C31DC" w:rsidRDefault="005C31DC" w:rsidP="003708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10521"/>
      <w:docPartObj>
        <w:docPartGallery w:val="Page Numbers (Bottom of Page)"/>
        <w:docPartUnique/>
      </w:docPartObj>
    </w:sdtPr>
    <w:sdtContent>
      <w:p w14:paraId="3DF65B19" w14:textId="1001FA6D" w:rsidR="002E4454" w:rsidRPr="002E4454" w:rsidRDefault="002E4454" w:rsidP="002E4454">
        <w:pPr>
          <w:pStyle w:val="a8"/>
          <w:jc w:val="center"/>
        </w:pPr>
        <w:r>
          <w:fldChar w:fldCharType="begin"/>
        </w:r>
        <w:r>
          <w:instrText>PAGE   \* MERGEFORMAT</w:instrText>
        </w:r>
        <w:r>
          <w:fldChar w:fldCharType="separate"/>
        </w:r>
        <w:r>
          <w:rPr>
            <w:noProof/>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9C0AA" w14:textId="77777777" w:rsidR="005C31DC" w:rsidRDefault="005C31DC" w:rsidP="00370878">
      <w:pPr>
        <w:spacing w:after="0"/>
      </w:pPr>
      <w:r>
        <w:separator/>
      </w:r>
    </w:p>
  </w:footnote>
  <w:footnote w:type="continuationSeparator" w:id="0">
    <w:p w14:paraId="09251983" w14:textId="77777777" w:rsidR="005C31DC" w:rsidRDefault="005C31DC" w:rsidP="00370878">
      <w:pPr>
        <w:spacing w:after="0"/>
      </w:pPr>
      <w:r>
        <w:continuationSeparator/>
      </w:r>
    </w:p>
  </w:footnote>
  <w:footnote w:id="1">
    <w:p w14:paraId="0BAF2A59" w14:textId="6F7B20AD" w:rsidR="00E113BD" w:rsidRPr="00E113BD" w:rsidRDefault="00E113BD">
      <w:pPr>
        <w:pStyle w:val="af2"/>
        <w:rPr>
          <w:lang w:val="uk-UA"/>
        </w:rPr>
      </w:pPr>
      <w:r>
        <w:rPr>
          <w:rStyle w:val="af4"/>
        </w:rPr>
        <w:footnoteRef/>
      </w:r>
      <w:r>
        <w:t xml:space="preserve"> </w:t>
      </w:r>
      <w:r>
        <w:rPr>
          <w:lang w:val="uk-UA"/>
        </w:rPr>
        <w:t>Всеукраїнська рада церков і релігійних організацій</w:t>
      </w:r>
    </w:p>
  </w:footnote>
  <w:footnote w:id="2">
    <w:p w14:paraId="63DF6516" w14:textId="77777777" w:rsidR="00E416CF" w:rsidRDefault="00E416CF" w:rsidP="00E416CF">
      <w:pPr>
        <w:pStyle w:val="af2"/>
        <w:rPr>
          <w:lang w:val="uk-UA"/>
        </w:rPr>
      </w:pPr>
      <w:r>
        <w:rPr>
          <w:rStyle w:val="af4"/>
          <w:lang w:val="uk-UA"/>
        </w:rPr>
        <w:footnoteRef/>
      </w:r>
      <w:r>
        <w:rPr>
          <w:lang w:val="uk-UA"/>
        </w:rPr>
        <w:t xml:space="preserve"> У цьому розділі кількість задокументованих порушень прав ЛГБТ може перевищувати кількість кейсів, тому що у деяких випадках було порушено більш ніж одну сферу прав.</w:t>
      </w:r>
    </w:p>
  </w:footnote>
  <w:footnote w:id="3">
    <w:p w14:paraId="0C35EFDC" w14:textId="77777777" w:rsidR="00E416CF" w:rsidRDefault="00E416CF" w:rsidP="00E416CF">
      <w:pPr>
        <w:pStyle w:val="af2"/>
        <w:rPr>
          <w:lang w:val="uk-UA"/>
        </w:rPr>
      </w:pPr>
      <w:r>
        <w:rPr>
          <w:rStyle w:val="af4"/>
          <w:sz w:val="22"/>
          <w:szCs w:val="22"/>
        </w:rPr>
        <w:footnoteRef/>
      </w:r>
      <w:r>
        <w:rPr>
          <w:lang w:val="uk-UA"/>
        </w:rPr>
        <w:t xml:space="preserve"> Виділені курсивом терміни наведені у відповідності з класифікацією ОБСЄ.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3458C" w14:textId="77777777" w:rsidR="00314E39" w:rsidRPr="002E4454" w:rsidRDefault="00314E39" w:rsidP="002E4454">
    <w:pPr>
      <w:pStyle w:val="a6"/>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501F"/>
    <w:multiLevelType w:val="hybridMultilevel"/>
    <w:tmpl w:val="DB969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897F43"/>
    <w:multiLevelType w:val="hybridMultilevel"/>
    <w:tmpl w:val="E1728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38"/>
    <w:rsid w:val="00017A20"/>
    <w:rsid w:val="00060074"/>
    <w:rsid w:val="000617B2"/>
    <w:rsid w:val="00062D11"/>
    <w:rsid w:val="00067B44"/>
    <w:rsid w:val="000707E5"/>
    <w:rsid w:val="00092B7F"/>
    <w:rsid w:val="000A548B"/>
    <w:rsid w:val="000B17D3"/>
    <w:rsid w:val="000C5766"/>
    <w:rsid w:val="000D60E1"/>
    <w:rsid w:val="000D6E91"/>
    <w:rsid w:val="000E57D9"/>
    <w:rsid w:val="000E6530"/>
    <w:rsid w:val="000F0B1F"/>
    <w:rsid w:val="0012464A"/>
    <w:rsid w:val="00124683"/>
    <w:rsid w:val="00125C76"/>
    <w:rsid w:val="0013543A"/>
    <w:rsid w:val="00142E74"/>
    <w:rsid w:val="0015346E"/>
    <w:rsid w:val="00154F8C"/>
    <w:rsid w:val="0015715A"/>
    <w:rsid w:val="00161437"/>
    <w:rsid w:val="001700C9"/>
    <w:rsid w:val="001D65C4"/>
    <w:rsid w:val="001E44CC"/>
    <w:rsid w:val="001E5B49"/>
    <w:rsid w:val="001F0C4F"/>
    <w:rsid w:val="0020383C"/>
    <w:rsid w:val="00206D50"/>
    <w:rsid w:val="00214A52"/>
    <w:rsid w:val="00224AAB"/>
    <w:rsid w:val="002374A8"/>
    <w:rsid w:val="002451E3"/>
    <w:rsid w:val="002508C1"/>
    <w:rsid w:val="0025514D"/>
    <w:rsid w:val="00260315"/>
    <w:rsid w:val="00270B78"/>
    <w:rsid w:val="00276901"/>
    <w:rsid w:val="00292BAF"/>
    <w:rsid w:val="00294503"/>
    <w:rsid w:val="002E4454"/>
    <w:rsid w:val="002E49C7"/>
    <w:rsid w:val="002E6D64"/>
    <w:rsid w:val="002F51CB"/>
    <w:rsid w:val="00300C88"/>
    <w:rsid w:val="00311829"/>
    <w:rsid w:val="00313229"/>
    <w:rsid w:val="00314E39"/>
    <w:rsid w:val="00317001"/>
    <w:rsid w:val="003421C2"/>
    <w:rsid w:val="003545ED"/>
    <w:rsid w:val="00361B8D"/>
    <w:rsid w:val="00370878"/>
    <w:rsid w:val="003878DD"/>
    <w:rsid w:val="003915A0"/>
    <w:rsid w:val="0039231A"/>
    <w:rsid w:val="003A6AF6"/>
    <w:rsid w:val="003A7B93"/>
    <w:rsid w:val="003C59E4"/>
    <w:rsid w:val="003D1D0B"/>
    <w:rsid w:val="003D2750"/>
    <w:rsid w:val="003D5222"/>
    <w:rsid w:val="003E5E37"/>
    <w:rsid w:val="003F68A4"/>
    <w:rsid w:val="004038A5"/>
    <w:rsid w:val="00437B98"/>
    <w:rsid w:val="0044377E"/>
    <w:rsid w:val="004670E0"/>
    <w:rsid w:val="004836DF"/>
    <w:rsid w:val="00487B10"/>
    <w:rsid w:val="004914C2"/>
    <w:rsid w:val="004A38B8"/>
    <w:rsid w:val="004A3B83"/>
    <w:rsid w:val="004D1A5A"/>
    <w:rsid w:val="004E6247"/>
    <w:rsid w:val="004F030E"/>
    <w:rsid w:val="00507032"/>
    <w:rsid w:val="0051000D"/>
    <w:rsid w:val="005357ED"/>
    <w:rsid w:val="00544EDC"/>
    <w:rsid w:val="005465FA"/>
    <w:rsid w:val="00553062"/>
    <w:rsid w:val="00554F66"/>
    <w:rsid w:val="0055781A"/>
    <w:rsid w:val="0056271F"/>
    <w:rsid w:val="00581D32"/>
    <w:rsid w:val="00593D49"/>
    <w:rsid w:val="005A10CF"/>
    <w:rsid w:val="005A4179"/>
    <w:rsid w:val="005B1584"/>
    <w:rsid w:val="005B64EC"/>
    <w:rsid w:val="005C31DC"/>
    <w:rsid w:val="005C6671"/>
    <w:rsid w:val="005C6FD4"/>
    <w:rsid w:val="005D153E"/>
    <w:rsid w:val="005F0E9F"/>
    <w:rsid w:val="005F654F"/>
    <w:rsid w:val="005F7E25"/>
    <w:rsid w:val="0060196F"/>
    <w:rsid w:val="00620E68"/>
    <w:rsid w:val="006225C7"/>
    <w:rsid w:val="0063048C"/>
    <w:rsid w:val="00636662"/>
    <w:rsid w:val="0063758C"/>
    <w:rsid w:val="00646590"/>
    <w:rsid w:val="006633C9"/>
    <w:rsid w:val="00670927"/>
    <w:rsid w:val="00682BDB"/>
    <w:rsid w:val="006841AC"/>
    <w:rsid w:val="00693245"/>
    <w:rsid w:val="006951DD"/>
    <w:rsid w:val="006A6827"/>
    <w:rsid w:val="006B0DEB"/>
    <w:rsid w:val="006B4C9D"/>
    <w:rsid w:val="006B69AE"/>
    <w:rsid w:val="006C3117"/>
    <w:rsid w:val="00712985"/>
    <w:rsid w:val="0071310E"/>
    <w:rsid w:val="007147FE"/>
    <w:rsid w:val="00734A7D"/>
    <w:rsid w:val="007511A5"/>
    <w:rsid w:val="0075721B"/>
    <w:rsid w:val="0076611F"/>
    <w:rsid w:val="007737A4"/>
    <w:rsid w:val="00773A12"/>
    <w:rsid w:val="00776F72"/>
    <w:rsid w:val="007829C0"/>
    <w:rsid w:val="00782C27"/>
    <w:rsid w:val="00794644"/>
    <w:rsid w:val="007A6E4E"/>
    <w:rsid w:val="007C0921"/>
    <w:rsid w:val="007C47FF"/>
    <w:rsid w:val="007D582D"/>
    <w:rsid w:val="007D63DD"/>
    <w:rsid w:val="007F0F66"/>
    <w:rsid w:val="007F4E71"/>
    <w:rsid w:val="00800857"/>
    <w:rsid w:val="00801954"/>
    <w:rsid w:val="008331C9"/>
    <w:rsid w:val="00833607"/>
    <w:rsid w:val="00833C14"/>
    <w:rsid w:val="0085282B"/>
    <w:rsid w:val="008557F4"/>
    <w:rsid w:val="00863D32"/>
    <w:rsid w:val="00875C52"/>
    <w:rsid w:val="008772A3"/>
    <w:rsid w:val="00891462"/>
    <w:rsid w:val="008923A3"/>
    <w:rsid w:val="00895959"/>
    <w:rsid w:val="008A2597"/>
    <w:rsid w:val="008D1260"/>
    <w:rsid w:val="008F0AD7"/>
    <w:rsid w:val="008F29B2"/>
    <w:rsid w:val="008F410F"/>
    <w:rsid w:val="008F53C5"/>
    <w:rsid w:val="0090100F"/>
    <w:rsid w:val="00902595"/>
    <w:rsid w:val="00922413"/>
    <w:rsid w:val="009236A3"/>
    <w:rsid w:val="00934A35"/>
    <w:rsid w:val="009361E5"/>
    <w:rsid w:val="0094630F"/>
    <w:rsid w:val="00950F41"/>
    <w:rsid w:val="00957ACA"/>
    <w:rsid w:val="0096661B"/>
    <w:rsid w:val="00983A50"/>
    <w:rsid w:val="00985C26"/>
    <w:rsid w:val="0099773C"/>
    <w:rsid w:val="00997B22"/>
    <w:rsid w:val="009A37A7"/>
    <w:rsid w:val="009A5CFE"/>
    <w:rsid w:val="009B4375"/>
    <w:rsid w:val="009C05E1"/>
    <w:rsid w:val="009C2829"/>
    <w:rsid w:val="009D73AD"/>
    <w:rsid w:val="009E1051"/>
    <w:rsid w:val="009E7CE7"/>
    <w:rsid w:val="009F2CB4"/>
    <w:rsid w:val="00A0679F"/>
    <w:rsid w:val="00A22E58"/>
    <w:rsid w:val="00A31195"/>
    <w:rsid w:val="00A84D1E"/>
    <w:rsid w:val="00A8689B"/>
    <w:rsid w:val="00A904F3"/>
    <w:rsid w:val="00A91EDD"/>
    <w:rsid w:val="00A9560F"/>
    <w:rsid w:val="00AA1F40"/>
    <w:rsid w:val="00AD3465"/>
    <w:rsid w:val="00AD6F12"/>
    <w:rsid w:val="00AE03DC"/>
    <w:rsid w:val="00AF0BC1"/>
    <w:rsid w:val="00AF1F7A"/>
    <w:rsid w:val="00AF69F7"/>
    <w:rsid w:val="00B12622"/>
    <w:rsid w:val="00B13AF1"/>
    <w:rsid w:val="00B15047"/>
    <w:rsid w:val="00B16DF9"/>
    <w:rsid w:val="00B26915"/>
    <w:rsid w:val="00B509C7"/>
    <w:rsid w:val="00B604AB"/>
    <w:rsid w:val="00B6143B"/>
    <w:rsid w:val="00B664AE"/>
    <w:rsid w:val="00B702F2"/>
    <w:rsid w:val="00B73DAA"/>
    <w:rsid w:val="00B748BE"/>
    <w:rsid w:val="00B836CA"/>
    <w:rsid w:val="00B84A06"/>
    <w:rsid w:val="00B935E8"/>
    <w:rsid w:val="00BB0FC9"/>
    <w:rsid w:val="00BC331F"/>
    <w:rsid w:val="00BC4F32"/>
    <w:rsid w:val="00BD3B8F"/>
    <w:rsid w:val="00BD6081"/>
    <w:rsid w:val="00BD66A7"/>
    <w:rsid w:val="00BF6139"/>
    <w:rsid w:val="00C0306A"/>
    <w:rsid w:val="00C042AA"/>
    <w:rsid w:val="00C348AE"/>
    <w:rsid w:val="00C41089"/>
    <w:rsid w:val="00C4390D"/>
    <w:rsid w:val="00C57D38"/>
    <w:rsid w:val="00C71B7F"/>
    <w:rsid w:val="00C7495A"/>
    <w:rsid w:val="00C85372"/>
    <w:rsid w:val="00CB048E"/>
    <w:rsid w:val="00CB5B3F"/>
    <w:rsid w:val="00CB7782"/>
    <w:rsid w:val="00CC3BD9"/>
    <w:rsid w:val="00CC495C"/>
    <w:rsid w:val="00CC72FF"/>
    <w:rsid w:val="00CD2B77"/>
    <w:rsid w:val="00CF0C74"/>
    <w:rsid w:val="00CF1CA6"/>
    <w:rsid w:val="00CF7A39"/>
    <w:rsid w:val="00D06C9C"/>
    <w:rsid w:val="00D10570"/>
    <w:rsid w:val="00D20AEB"/>
    <w:rsid w:val="00D25D62"/>
    <w:rsid w:val="00D30732"/>
    <w:rsid w:val="00D60D83"/>
    <w:rsid w:val="00DB103A"/>
    <w:rsid w:val="00DB6475"/>
    <w:rsid w:val="00DC099B"/>
    <w:rsid w:val="00DC12D9"/>
    <w:rsid w:val="00DD1C91"/>
    <w:rsid w:val="00DE056A"/>
    <w:rsid w:val="00DF6D9A"/>
    <w:rsid w:val="00E113BD"/>
    <w:rsid w:val="00E1715D"/>
    <w:rsid w:val="00E416CF"/>
    <w:rsid w:val="00E41796"/>
    <w:rsid w:val="00E458DE"/>
    <w:rsid w:val="00E46909"/>
    <w:rsid w:val="00E46AE7"/>
    <w:rsid w:val="00E71DDE"/>
    <w:rsid w:val="00E82E10"/>
    <w:rsid w:val="00EA7949"/>
    <w:rsid w:val="00EC1659"/>
    <w:rsid w:val="00EC6AA4"/>
    <w:rsid w:val="00EF1036"/>
    <w:rsid w:val="00F0712B"/>
    <w:rsid w:val="00F10FCC"/>
    <w:rsid w:val="00F221E3"/>
    <w:rsid w:val="00F30C12"/>
    <w:rsid w:val="00F332A7"/>
    <w:rsid w:val="00F33E34"/>
    <w:rsid w:val="00F42C68"/>
    <w:rsid w:val="00F4413B"/>
    <w:rsid w:val="00F46950"/>
    <w:rsid w:val="00F52FDE"/>
    <w:rsid w:val="00F53539"/>
    <w:rsid w:val="00F70B75"/>
    <w:rsid w:val="00F97C92"/>
    <w:rsid w:val="00FB26E8"/>
    <w:rsid w:val="00FE5D0A"/>
    <w:rsid w:val="00FF4D23"/>
    <w:rsid w:val="00FF7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D38"/>
    <w:pPr>
      <w:spacing w:after="120" w:line="240" w:lineRule="auto"/>
      <w:contextualSpacing/>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1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A10CF"/>
    <w:rPr>
      <w:color w:val="0563C1" w:themeColor="hyperlink"/>
      <w:u w:val="single"/>
    </w:rPr>
  </w:style>
  <w:style w:type="character" w:styleId="a5">
    <w:name w:val="FollowedHyperlink"/>
    <w:basedOn w:val="a0"/>
    <w:uiPriority w:val="99"/>
    <w:semiHidden/>
    <w:unhideWhenUsed/>
    <w:rsid w:val="005A10CF"/>
    <w:rPr>
      <w:color w:val="954F72" w:themeColor="followedHyperlink"/>
      <w:u w:val="single"/>
    </w:rPr>
  </w:style>
  <w:style w:type="paragraph" w:styleId="a6">
    <w:name w:val="header"/>
    <w:basedOn w:val="a"/>
    <w:link w:val="a7"/>
    <w:uiPriority w:val="99"/>
    <w:unhideWhenUsed/>
    <w:rsid w:val="00370878"/>
    <w:pPr>
      <w:tabs>
        <w:tab w:val="center" w:pos="4677"/>
        <w:tab w:val="right" w:pos="9355"/>
      </w:tabs>
      <w:spacing w:after="0"/>
    </w:pPr>
  </w:style>
  <w:style w:type="character" w:customStyle="1" w:styleId="a7">
    <w:name w:val="Верхний колонтитул Знак"/>
    <w:basedOn w:val="a0"/>
    <w:link w:val="a6"/>
    <w:uiPriority w:val="99"/>
    <w:rsid w:val="00370878"/>
  </w:style>
  <w:style w:type="paragraph" w:styleId="a8">
    <w:name w:val="footer"/>
    <w:basedOn w:val="a"/>
    <w:link w:val="a9"/>
    <w:uiPriority w:val="99"/>
    <w:unhideWhenUsed/>
    <w:rsid w:val="00370878"/>
    <w:pPr>
      <w:tabs>
        <w:tab w:val="center" w:pos="4677"/>
        <w:tab w:val="right" w:pos="9355"/>
      </w:tabs>
      <w:spacing w:after="0"/>
    </w:pPr>
  </w:style>
  <w:style w:type="character" w:customStyle="1" w:styleId="a9">
    <w:name w:val="Нижний колонтитул Знак"/>
    <w:basedOn w:val="a0"/>
    <w:link w:val="a8"/>
    <w:uiPriority w:val="99"/>
    <w:rsid w:val="00370878"/>
  </w:style>
  <w:style w:type="paragraph" w:styleId="aa">
    <w:name w:val="List Paragraph"/>
    <w:basedOn w:val="a"/>
    <w:uiPriority w:val="34"/>
    <w:qFormat/>
    <w:rsid w:val="000E57D9"/>
    <w:pPr>
      <w:ind w:left="720"/>
    </w:pPr>
  </w:style>
  <w:style w:type="character" w:styleId="ab">
    <w:name w:val="annotation reference"/>
    <w:basedOn w:val="a0"/>
    <w:uiPriority w:val="99"/>
    <w:semiHidden/>
    <w:unhideWhenUsed/>
    <w:rsid w:val="00F42C68"/>
    <w:rPr>
      <w:sz w:val="16"/>
      <w:szCs w:val="16"/>
    </w:rPr>
  </w:style>
  <w:style w:type="paragraph" w:styleId="ac">
    <w:name w:val="annotation text"/>
    <w:basedOn w:val="a"/>
    <w:link w:val="ad"/>
    <w:uiPriority w:val="99"/>
    <w:semiHidden/>
    <w:unhideWhenUsed/>
    <w:rsid w:val="00F42C68"/>
    <w:rPr>
      <w:sz w:val="20"/>
      <w:szCs w:val="20"/>
    </w:rPr>
  </w:style>
  <w:style w:type="character" w:customStyle="1" w:styleId="ad">
    <w:name w:val="Текст примечания Знак"/>
    <w:basedOn w:val="a0"/>
    <w:link w:val="ac"/>
    <w:uiPriority w:val="99"/>
    <w:semiHidden/>
    <w:rsid w:val="00F42C68"/>
    <w:rPr>
      <w:sz w:val="20"/>
      <w:szCs w:val="20"/>
    </w:rPr>
  </w:style>
  <w:style w:type="paragraph" w:styleId="ae">
    <w:name w:val="annotation subject"/>
    <w:basedOn w:val="ac"/>
    <w:next w:val="ac"/>
    <w:link w:val="af"/>
    <w:uiPriority w:val="99"/>
    <w:semiHidden/>
    <w:unhideWhenUsed/>
    <w:rsid w:val="00F42C68"/>
    <w:rPr>
      <w:b/>
      <w:bCs/>
    </w:rPr>
  </w:style>
  <w:style w:type="character" w:customStyle="1" w:styleId="af">
    <w:name w:val="Тема примечания Знак"/>
    <w:basedOn w:val="ad"/>
    <w:link w:val="ae"/>
    <w:uiPriority w:val="99"/>
    <w:semiHidden/>
    <w:rsid w:val="00F42C68"/>
    <w:rPr>
      <w:b/>
      <w:bCs/>
      <w:sz w:val="20"/>
      <w:szCs w:val="20"/>
    </w:rPr>
  </w:style>
  <w:style w:type="paragraph" w:styleId="af0">
    <w:name w:val="Balloon Text"/>
    <w:basedOn w:val="a"/>
    <w:link w:val="af1"/>
    <w:uiPriority w:val="99"/>
    <w:semiHidden/>
    <w:unhideWhenUsed/>
    <w:rsid w:val="00F42C68"/>
    <w:pPr>
      <w:spacing w:after="0"/>
    </w:pPr>
    <w:rPr>
      <w:rFonts w:ascii="Tahoma" w:hAnsi="Tahoma" w:cs="Tahoma"/>
      <w:sz w:val="16"/>
      <w:szCs w:val="16"/>
    </w:rPr>
  </w:style>
  <w:style w:type="character" w:customStyle="1" w:styleId="af1">
    <w:name w:val="Текст выноски Знак"/>
    <w:basedOn w:val="a0"/>
    <w:link w:val="af0"/>
    <w:uiPriority w:val="99"/>
    <w:semiHidden/>
    <w:rsid w:val="00F42C68"/>
    <w:rPr>
      <w:rFonts w:ascii="Tahoma" w:hAnsi="Tahoma" w:cs="Tahoma"/>
      <w:sz w:val="16"/>
      <w:szCs w:val="16"/>
    </w:rPr>
  </w:style>
  <w:style w:type="paragraph" w:styleId="af2">
    <w:name w:val="footnote text"/>
    <w:basedOn w:val="a"/>
    <w:link w:val="af3"/>
    <w:autoRedefine/>
    <w:uiPriority w:val="99"/>
    <w:unhideWhenUsed/>
    <w:qFormat/>
    <w:rsid w:val="00487B10"/>
    <w:pPr>
      <w:spacing w:after="0"/>
      <w:jc w:val="left"/>
    </w:pPr>
    <w:rPr>
      <w:sz w:val="20"/>
      <w:szCs w:val="20"/>
    </w:rPr>
  </w:style>
  <w:style w:type="character" w:customStyle="1" w:styleId="af3">
    <w:name w:val="Текст сноски Знак"/>
    <w:basedOn w:val="a0"/>
    <w:link w:val="af2"/>
    <w:uiPriority w:val="99"/>
    <w:rsid w:val="00487B10"/>
    <w:rPr>
      <w:sz w:val="20"/>
      <w:szCs w:val="20"/>
    </w:rPr>
  </w:style>
  <w:style w:type="character" w:styleId="af4">
    <w:name w:val="footnote reference"/>
    <w:basedOn w:val="a0"/>
    <w:uiPriority w:val="99"/>
    <w:semiHidden/>
    <w:unhideWhenUsed/>
    <w:rsid w:val="006019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D38"/>
    <w:pPr>
      <w:spacing w:after="120" w:line="240" w:lineRule="auto"/>
      <w:contextualSpacing/>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1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A10CF"/>
    <w:rPr>
      <w:color w:val="0563C1" w:themeColor="hyperlink"/>
      <w:u w:val="single"/>
    </w:rPr>
  </w:style>
  <w:style w:type="character" w:styleId="a5">
    <w:name w:val="FollowedHyperlink"/>
    <w:basedOn w:val="a0"/>
    <w:uiPriority w:val="99"/>
    <w:semiHidden/>
    <w:unhideWhenUsed/>
    <w:rsid w:val="005A10CF"/>
    <w:rPr>
      <w:color w:val="954F72" w:themeColor="followedHyperlink"/>
      <w:u w:val="single"/>
    </w:rPr>
  </w:style>
  <w:style w:type="paragraph" w:styleId="a6">
    <w:name w:val="header"/>
    <w:basedOn w:val="a"/>
    <w:link w:val="a7"/>
    <w:uiPriority w:val="99"/>
    <w:unhideWhenUsed/>
    <w:rsid w:val="00370878"/>
    <w:pPr>
      <w:tabs>
        <w:tab w:val="center" w:pos="4677"/>
        <w:tab w:val="right" w:pos="9355"/>
      </w:tabs>
      <w:spacing w:after="0"/>
    </w:pPr>
  </w:style>
  <w:style w:type="character" w:customStyle="1" w:styleId="a7">
    <w:name w:val="Верхний колонтитул Знак"/>
    <w:basedOn w:val="a0"/>
    <w:link w:val="a6"/>
    <w:uiPriority w:val="99"/>
    <w:rsid w:val="00370878"/>
  </w:style>
  <w:style w:type="paragraph" w:styleId="a8">
    <w:name w:val="footer"/>
    <w:basedOn w:val="a"/>
    <w:link w:val="a9"/>
    <w:uiPriority w:val="99"/>
    <w:unhideWhenUsed/>
    <w:rsid w:val="00370878"/>
    <w:pPr>
      <w:tabs>
        <w:tab w:val="center" w:pos="4677"/>
        <w:tab w:val="right" w:pos="9355"/>
      </w:tabs>
      <w:spacing w:after="0"/>
    </w:pPr>
  </w:style>
  <w:style w:type="character" w:customStyle="1" w:styleId="a9">
    <w:name w:val="Нижний колонтитул Знак"/>
    <w:basedOn w:val="a0"/>
    <w:link w:val="a8"/>
    <w:uiPriority w:val="99"/>
    <w:rsid w:val="00370878"/>
  </w:style>
  <w:style w:type="paragraph" w:styleId="aa">
    <w:name w:val="List Paragraph"/>
    <w:basedOn w:val="a"/>
    <w:uiPriority w:val="34"/>
    <w:qFormat/>
    <w:rsid w:val="000E57D9"/>
    <w:pPr>
      <w:ind w:left="720"/>
    </w:pPr>
  </w:style>
  <w:style w:type="character" w:styleId="ab">
    <w:name w:val="annotation reference"/>
    <w:basedOn w:val="a0"/>
    <w:uiPriority w:val="99"/>
    <w:semiHidden/>
    <w:unhideWhenUsed/>
    <w:rsid w:val="00F42C68"/>
    <w:rPr>
      <w:sz w:val="16"/>
      <w:szCs w:val="16"/>
    </w:rPr>
  </w:style>
  <w:style w:type="paragraph" w:styleId="ac">
    <w:name w:val="annotation text"/>
    <w:basedOn w:val="a"/>
    <w:link w:val="ad"/>
    <w:uiPriority w:val="99"/>
    <w:semiHidden/>
    <w:unhideWhenUsed/>
    <w:rsid w:val="00F42C68"/>
    <w:rPr>
      <w:sz w:val="20"/>
      <w:szCs w:val="20"/>
    </w:rPr>
  </w:style>
  <w:style w:type="character" w:customStyle="1" w:styleId="ad">
    <w:name w:val="Текст примечания Знак"/>
    <w:basedOn w:val="a0"/>
    <w:link w:val="ac"/>
    <w:uiPriority w:val="99"/>
    <w:semiHidden/>
    <w:rsid w:val="00F42C68"/>
    <w:rPr>
      <w:sz w:val="20"/>
      <w:szCs w:val="20"/>
    </w:rPr>
  </w:style>
  <w:style w:type="paragraph" w:styleId="ae">
    <w:name w:val="annotation subject"/>
    <w:basedOn w:val="ac"/>
    <w:next w:val="ac"/>
    <w:link w:val="af"/>
    <w:uiPriority w:val="99"/>
    <w:semiHidden/>
    <w:unhideWhenUsed/>
    <w:rsid w:val="00F42C68"/>
    <w:rPr>
      <w:b/>
      <w:bCs/>
    </w:rPr>
  </w:style>
  <w:style w:type="character" w:customStyle="1" w:styleId="af">
    <w:name w:val="Тема примечания Знак"/>
    <w:basedOn w:val="ad"/>
    <w:link w:val="ae"/>
    <w:uiPriority w:val="99"/>
    <w:semiHidden/>
    <w:rsid w:val="00F42C68"/>
    <w:rPr>
      <w:b/>
      <w:bCs/>
      <w:sz w:val="20"/>
      <w:szCs w:val="20"/>
    </w:rPr>
  </w:style>
  <w:style w:type="paragraph" w:styleId="af0">
    <w:name w:val="Balloon Text"/>
    <w:basedOn w:val="a"/>
    <w:link w:val="af1"/>
    <w:uiPriority w:val="99"/>
    <w:semiHidden/>
    <w:unhideWhenUsed/>
    <w:rsid w:val="00F42C68"/>
    <w:pPr>
      <w:spacing w:after="0"/>
    </w:pPr>
    <w:rPr>
      <w:rFonts w:ascii="Tahoma" w:hAnsi="Tahoma" w:cs="Tahoma"/>
      <w:sz w:val="16"/>
      <w:szCs w:val="16"/>
    </w:rPr>
  </w:style>
  <w:style w:type="character" w:customStyle="1" w:styleId="af1">
    <w:name w:val="Текст выноски Знак"/>
    <w:basedOn w:val="a0"/>
    <w:link w:val="af0"/>
    <w:uiPriority w:val="99"/>
    <w:semiHidden/>
    <w:rsid w:val="00F42C68"/>
    <w:rPr>
      <w:rFonts w:ascii="Tahoma" w:hAnsi="Tahoma" w:cs="Tahoma"/>
      <w:sz w:val="16"/>
      <w:szCs w:val="16"/>
    </w:rPr>
  </w:style>
  <w:style w:type="paragraph" w:styleId="af2">
    <w:name w:val="footnote text"/>
    <w:basedOn w:val="a"/>
    <w:link w:val="af3"/>
    <w:autoRedefine/>
    <w:uiPriority w:val="99"/>
    <w:unhideWhenUsed/>
    <w:qFormat/>
    <w:rsid w:val="00487B10"/>
    <w:pPr>
      <w:spacing w:after="0"/>
      <w:jc w:val="left"/>
    </w:pPr>
    <w:rPr>
      <w:sz w:val="20"/>
      <w:szCs w:val="20"/>
    </w:rPr>
  </w:style>
  <w:style w:type="character" w:customStyle="1" w:styleId="af3">
    <w:name w:val="Текст сноски Знак"/>
    <w:basedOn w:val="a0"/>
    <w:link w:val="af2"/>
    <w:uiPriority w:val="99"/>
    <w:rsid w:val="00487B10"/>
    <w:rPr>
      <w:sz w:val="20"/>
      <w:szCs w:val="20"/>
    </w:rPr>
  </w:style>
  <w:style w:type="character" w:styleId="af4">
    <w:name w:val="footnote reference"/>
    <w:basedOn w:val="a0"/>
    <w:uiPriority w:val="99"/>
    <w:semiHidden/>
    <w:unhideWhenUsed/>
    <w:rsid w:val="006019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09554">
      <w:bodyDiv w:val="1"/>
      <w:marLeft w:val="0"/>
      <w:marRight w:val="0"/>
      <w:marTop w:val="0"/>
      <w:marBottom w:val="0"/>
      <w:divBdr>
        <w:top w:val="none" w:sz="0" w:space="0" w:color="auto"/>
        <w:left w:val="none" w:sz="0" w:space="0" w:color="auto"/>
        <w:bottom w:val="none" w:sz="0" w:space="0" w:color="auto"/>
        <w:right w:val="none" w:sz="0" w:space="0" w:color="auto"/>
      </w:divBdr>
    </w:div>
    <w:div w:id="1469937996">
      <w:bodyDiv w:val="1"/>
      <w:marLeft w:val="0"/>
      <w:marRight w:val="0"/>
      <w:marTop w:val="0"/>
      <w:marBottom w:val="0"/>
      <w:divBdr>
        <w:top w:val="none" w:sz="0" w:space="0" w:color="auto"/>
        <w:left w:val="none" w:sz="0" w:space="0" w:color="auto"/>
        <w:bottom w:val="none" w:sz="0" w:space="0" w:color="auto"/>
        <w:right w:val="none" w:sz="0" w:space="0" w:color="auto"/>
      </w:divBdr>
    </w:div>
    <w:div w:id="173280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ordinator@gay.org.u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facebook.com/nashmircenter" TargetMode="External"/><Relationship Id="rId4" Type="http://schemas.microsoft.com/office/2007/relationships/stylesWithEffects" Target="stylesWithEffects.xml"/><Relationship Id="rId9" Type="http://schemas.openxmlformats.org/officeDocument/2006/relationships/hyperlink" Target="www.gay.org.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1F6CD-EB55-46EB-BA32-BC07B9A72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9</Pages>
  <Words>4294</Words>
  <Characters>24476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Andrey</dc:creator>
  <cp:lastModifiedBy>Andrey</cp:lastModifiedBy>
  <cp:revision>32</cp:revision>
  <dcterms:created xsi:type="dcterms:W3CDTF">2017-08-15T12:44:00Z</dcterms:created>
  <dcterms:modified xsi:type="dcterms:W3CDTF">2017-08-31T09:59:00Z</dcterms:modified>
</cp:coreProperties>
</file>